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8933AC" w:rsidRDefault="009E0861" w:rsidP="00781082">
      <w:pPr>
        <w:tabs>
          <w:tab w:val="left" w:pos="1843"/>
        </w:tabs>
        <w:spacing w:after="0" w:line="276" w:lineRule="auto"/>
        <w:jc w:val="both"/>
        <w:rPr>
          <w:rFonts w:ascii="Tahoma" w:hAnsi="Tahoma" w:cs="Tahoma"/>
          <w:b/>
          <w:sz w:val="24"/>
          <w:szCs w:val="24"/>
        </w:rPr>
      </w:pPr>
      <w:r w:rsidRPr="008933AC">
        <w:rPr>
          <w:rFonts w:ascii="Tahoma" w:hAnsi="Tahoma" w:cs="Tahoma"/>
          <w:b/>
          <w:sz w:val="24"/>
          <w:szCs w:val="24"/>
        </w:rPr>
        <w:t xml:space="preserve">VOTO PARTICULAR QUE FORMULA EL COMISIONADO LUIS GUSTAVO PARRA NORIEGA, EN RELACIÓN CON LA RESOLUCIÓN DEL RECURSO DE REVISIÓN </w:t>
      </w:r>
      <w:r w:rsidR="00DE4452" w:rsidRPr="00DE4452">
        <w:rPr>
          <w:rFonts w:ascii="Tahoma" w:hAnsi="Tahoma" w:cs="Tahoma"/>
          <w:b/>
          <w:sz w:val="24"/>
          <w:szCs w:val="24"/>
        </w:rPr>
        <w:t xml:space="preserve">02926/INFOEM/IP/RR/2018 </w:t>
      </w:r>
      <w:r w:rsidR="00DE4452" w:rsidRPr="00781082">
        <w:rPr>
          <w:rFonts w:ascii="Tahoma" w:hAnsi="Tahoma" w:cs="Tahoma"/>
          <w:b/>
          <w:caps/>
          <w:sz w:val="24"/>
          <w:szCs w:val="24"/>
        </w:rPr>
        <w:t>y su acumulado 02929/INFOEM/IP/RR/2018</w:t>
      </w:r>
      <w:r w:rsidRPr="00781082">
        <w:rPr>
          <w:rFonts w:ascii="Tahoma" w:hAnsi="Tahoma" w:cs="Tahoma"/>
          <w:b/>
          <w:caps/>
          <w:sz w:val="24"/>
          <w:szCs w:val="24"/>
        </w:rPr>
        <w:t>,</w:t>
      </w:r>
      <w:r w:rsidRPr="008933AC">
        <w:rPr>
          <w:rFonts w:ascii="Tahoma" w:hAnsi="Tahoma" w:cs="Tahoma"/>
          <w:b/>
          <w:sz w:val="24"/>
          <w:szCs w:val="24"/>
        </w:rPr>
        <w:t xml:space="preserve"> PROMOVIDO EN CONTRA DE</w:t>
      </w:r>
      <w:r w:rsidR="00962B86" w:rsidRPr="008933AC">
        <w:rPr>
          <w:rFonts w:ascii="Tahoma" w:hAnsi="Tahoma" w:cs="Tahoma"/>
          <w:b/>
          <w:sz w:val="24"/>
          <w:szCs w:val="24"/>
        </w:rPr>
        <w:t>L AYUNTAMIENTO DE CHALCO</w:t>
      </w:r>
      <w:r w:rsidRPr="008933AC">
        <w:rPr>
          <w:rFonts w:ascii="Tahoma" w:hAnsi="Tahoma" w:cs="Tahoma"/>
          <w:b/>
          <w:sz w:val="24"/>
          <w:szCs w:val="24"/>
        </w:rPr>
        <w:t>.</w:t>
      </w:r>
    </w:p>
    <w:p w:rsidR="009E0861" w:rsidRPr="008933AC" w:rsidRDefault="009E0861" w:rsidP="00A462CB">
      <w:pPr>
        <w:spacing w:after="0" w:line="276" w:lineRule="auto"/>
        <w:jc w:val="both"/>
        <w:rPr>
          <w:rFonts w:ascii="Tahoma" w:hAnsi="Tahoma" w:cs="Tahoma"/>
          <w:sz w:val="24"/>
          <w:szCs w:val="24"/>
        </w:rPr>
      </w:pPr>
    </w:p>
    <w:p w:rsidR="009E0861" w:rsidRPr="008933AC" w:rsidRDefault="009E0861" w:rsidP="00A462CB">
      <w:pPr>
        <w:spacing w:after="0" w:line="276" w:lineRule="auto"/>
        <w:jc w:val="both"/>
        <w:rPr>
          <w:rFonts w:ascii="Tahoma" w:hAnsi="Tahoma" w:cs="Tahoma"/>
          <w:sz w:val="24"/>
          <w:szCs w:val="24"/>
        </w:rPr>
      </w:pPr>
      <w:r w:rsidRPr="008933AC">
        <w:rPr>
          <w:rFonts w:ascii="Tahoma" w:hAnsi="Tahoma"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933AC">
        <w:rPr>
          <w:rFonts w:ascii="Tahoma" w:hAnsi="Tahoma" w:cs="Tahoma"/>
          <w:b/>
          <w:sz w:val="24"/>
          <w:szCs w:val="24"/>
        </w:rPr>
        <w:t>Voto Particular</w:t>
      </w:r>
      <w:r w:rsidRPr="008933AC">
        <w:rPr>
          <w:rFonts w:ascii="Tahoma" w:hAnsi="Tahoma" w:cs="Tahoma"/>
          <w:sz w:val="24"/>
          <w:szCs w:val="24"/>
        </w:rPr>
        <w:t xml:space="preserve"> por no compartir en su totalidad las consideraciones que sustentan la Resolución del Recurso de Revisión </w:t>
      </w:r>
      <w:r w:rsidR="00A742D1" w:rsidRPr="008933AC">
        <w:rPr>
          <w:rFonts w:ascii="Tahoma" w:hAnsi="Tahoma" w:cs="Tahoma"/>
          <w:sz w:val="24"/>
          <w:szCs w:val="24"/>
        </w:rPr>
        <w:t>0</w:t>
      </w:r>
      <w:r w:rsidR="00627F2B" w:rsidRPr="008933AC">
        <w:rPr>
          <w:rFonts w:ascii="Tahoma" w:hAnsi="Tahoma" w:cs="Tahoma"/>
          <w:sz w:val="24"/>
          <w:szCs w:val="24"/>
        </w:rPr>
        <w:t>2926</w:t>
      </w:r>
      <w:r w:rsidR="00A742D1" w:rsidRPr="008933AC">
        <w:rPr>
          <w:rFonts w:ascii="Tahoma" w:hAnsi="Tahoma" w:cs="Tahoma"/>
          <w:sz w:val="24"/>
          <w:szCs w:val="24"/>
        </w:rPr>
        <w:t>/INFOEM/IP/RR/2018</w:t>
      </w:r>
      <w:r w:rsidR="00627F2B" w:rsidRPr="008933AC">
        <w:rPr>
          <w:rFonts w:ascii="Tahoma" w:hAnsi="Tahoma" w:cs="Tahoma"/>
          <w:sz w:val="24"/>
          <w:szCs w:val="24"/>
        </w:rPr>
        <w:t xml:space="preserve"> y su acumulado 02929/INFOEM/IP/RR/2018</w:t>
      </w:r>
      <w:r w:rsidRPr="008933AC">
        <w:rPr>
          <w:rFonts w:ascii="Tahoma" w:hAnsi="Tahoma" w:cs="Tahoma"/>
          <w:sz w:val="24"/>
          <w:szCs w:val="24"/>
        </w:rPr>
        <w:t>.</w:t>
      </w:r>
    </w:p>
    <w:p w:rsidR="009E0861" w:rsidRPr="008933AC" w:rsidRDefault="009E0861" w:rsidP="00A462CB">
      <w:pPr>
        <w:spacing w:after="0" w:line="276" w:lineRule="auto"/>
        <w:jc w:val="both"/>
        <w:rPr>
          <w:rFonts w:ascii="Tahoma" w:hAnsi="Tahoma" w:cs="Tahoma"/>
          <w:sz w:val="24"/>
          <w:szCs w:val="24"/>
        </w:rPr>
      </w:pPr>
    </w:p>
    <w:p w:rsidR="00627F2B" w:rsidRPr="008933AC" w:rsidRDefault="00EA7E26" w:rsidP="00A462CB">
      <w:pPr>
        <w:spacing w:after="0" w:line="276" w:lineRule="auto"/>
        <w:jc w:val="both"/>
        <w:rPr>
          <w:rFonts w:ascii="Tahoma" w:hAnsi="Tahoma" w:cs="Tahoma"/>
          <w:sz w:val="24"/>
          <w:szCs w:val="24"/>
        </w:rPr>
      </w:pPr>
      <w:r w:rsidRPr="008933AC">
        <w:rPr>
          <w:rFonts w:ascii="Tahoma" w:hAnsi="Tahoma" w:cs="Tahoma"/>
          <w:sz w:val="24"/>
          <w:szCs w:val="24"/>
        </w:rPr>
        <w:t>C</w:t>
      </w:r>
      <w:r w:rsidR="009E0861" w:rsidRPr="008933AC">
        <w:rPr>
          <w:rFonts w:ascii="Tahoma" w:hAnsi="Tahoma" w:cs="Tahoma"/>
          <w:sz w:val="24"/>
          <w:szCs w:val="24"/>
        </w:rPr>
        <w:t xml:space="preserve">omo se desprende de la resolución </w:t>
      </w:r>
      <w:r w:rsidRPr="008933AC">
        <w:rPr>
          <w:rFonts w:ascii="Tahoma" w:hAnsi="Tahoma" w:cs="Tahoma"/>
          <w:sz w:val="24"/>
          <w:szCs w:val="24"/>
        </w:rPr>
        <w:t>que nos ocupa</w:t>
      </w:r>
      <w:r w:rsidR="009E0861" w:rsidRPr="008933AC">
        <w:rPr>
          <w:rFonts w:ascii="Tahoma" w:hAnsi="Tahoma" w:cs="Tahoma"/>
          <w:sz w:val="24"/>
          <w:szCs w:val="24"/>
        </w:rPr>
        <w:t>, el</w:t>
      </w:r>
      <w:r w:rsidR="00627F2B" w:rsidRPr="008933AC">
        <w:rPr>
          <w:rFonts w:ascii="Tahoma" w:hAnsi="Tahoma" w:cs="Tahoma"/>
          <w:sz w:val="24"/>
          <w:szCs w:val="24"/>
        </w:rPr>
        <w:t xml:space="preserve"> entonces solicitante requirió información relacionada con el pago por concepto de pintura en los años dos mil dieciséis, dos mil diecisiete y dos mil dieciocho, respecto de la cual el Sujeto Obligado en un primer momento se declaró incompetente y en informe justificado entregó documentos para atender el requerimiento, </w:t>
      </w:r>
      <w:r w:rsidR="0045695E" w:rsidRPr="008933AC">
        <w:rPr>
          <w:rFonts w:ascii="Tahoma" w:hAnsi="Tahoma" w:cs="Tahoma"/>
          <w:sz w:val="24"/>
          <w:szCs w:val="24"/>
        </w:rPr>
        <w:t xml:space="preserve"> en los cuales </w:t>
      </w:r>
      <w:r w:rsidR="0045695E" w:rsidRPr="008933AC">
        <w:rPr>
          <w:rFonts w:ascii="Tahoma" w:hAnsi="Tahoma" w:cs="Tahoma"/>
          <w:i/>
          <w:sz w:val="24"/>
          <w:szCs w:val="24"/>
        </w:rPr>
        <w:t xml:space="preserve">“dejó visibles datos considerados como confidenciales, los cuales de manera enunciativa más no limitativa son las cadenas originales de sellos digitales, códigos bidimensionales, también denominados Códigos QR, número de cuenta bancaria o claves interbancarias de las personas físicas; omitiendo hacer entrega de las mismas en versión pública (…)”, </w:t>
      </w:r>
      <w:r w:rsidR="00627F2B" w:rsidRPr="008933AC">
        <w:rPr>
          <w:rFonts w:ascii="Tahoma" w:hAnsi="Tahoma" w:cs="Tahoma"/>
          <w:sz w:val="24"/>
          <w:szCs w:val="24"/>
        </w:rPr>
        <w:t xml:space="preserve">motivo por el cual, la Ponencia determinó instruir la entrega de la documentación </w:t>
      </w:r>
      <w:r w:rsidR="0045695E" w:rsidRPr="008933AC">
        <w:rPr>
          <w:rFonts w:ascii="Tahoma" w:hAnsi="Tahoma" w:cs="Tahoma"/>
          <w:sz w:val="24"/>
          <w:szCs w:val="24"/>
        </w:rPr>
        <w:t>en versión pública en la que se eliminen los datos personales confidenciales en términos del artículo 143, fracción I de la Ley de Transparencia y Acceso a la Información Pública del Estado de México y Municipios.</w:t>
      </w:r>
    </w:p>
    <w:p w:rsidR="0044391A" w:rsidRPr="008933AC" w:rsidRDefault="0044391A" w:rsidP="00A462CB">
      <w:pPr>
        <w:spacing w:after="0" w:line="276" w:lineRule="auto"/>
        <w:jc w:val="both"/>
        <w:rPr>
          <w:rFonts w:ascii="Tahoma" w:hAnsi="Tahoma" w:cs="Tahoma"/>
          <w:sz w:val="24"/>
          <w:szCs w:val="24"/>
        </w:rPr>
      </w:pPr>
    </w:p>
    <w:p w:rsidR="00BD4C66" w:rsidRDefault="0044391A" w:rsidP="00A462CB">
      <w:pPr>
        <w:spacing w:after="0" w:line="276" w:lineRule="auto"/>
        <w:jc w:val="both"/>
        <w:rPr>
          <w:rFonts w:ascii="Tahoma" w:eastAsia="Arial Unicode MS" w:hAnsi="Tahoma" w:cs="Tahoma"/>
          <w:sz w:val="24"/>
          <w:szCs w:val="24"/>
        </w:rPr>
      </w:pPr>
      <w:r w:rsidRPr="008933AC">
        <w:rPr>
          <w:rFonts w:ascii="Tahoma" w:hAnsi="Tahoma" w:cs="Tahoma"/>
          <w:sz w:val="24"/>
          <w:szCs w:val="24"/>
        </w:rPr>
        <w:t xml:space="preserve">Sobre el particular, es de precisar que si bien se comparte que, </w:t>
      </w:r>
      <w:r w:rsidR="00485822" w:rsidRPr="008933AC">
        <w:rPr>
          <w:rFonts w:ascii="Tahoma" w:hAnsi="Tahoma" w:cs="Tahoma"/>
          <w:sz w:val="24"/>
          <w:szCs w:val="24"/>
        </w:rPr>
        <w:t>la información es de naturaleza pública por lo que procede la entrega; también lo es, que en la Resolución se determina que</w:t>
      </w:r>
      <w:r w:rsidR="00722FE9" w:rsidRPr="008933AC">
        <w:rPr>
          <w:rFonts w:ascii="Tahoma" w:hAnsi="Tahoma" w:cs="Tahoma"/>
          <w:sz w:val="24"/>
          <w:szCs w:val="24"/>
        </w:rPr>
        <w:t xml:space="preserve"> se elaboren versiones públicas de los documentos que contengan </w:t>
      </w:r>
      <w:r w:rsidR="00722FE9" w:rsidRPr="008933AC">
        <w:rPr>
          <w:rFonts w:ascii="Tahoma" w:hAnsi="Tahoma" w:cs="Tahoma"/>
          <w:sz w:val="24"/>
          <w:szCs w:val="24"/>
        </w:rPr>
        <w:lastRenderedPageBreak/>
        <w:t>entre otra información “cade</w:t>
      </w:r>
      <w:r w:rsidR="00722FE9" w:rsidRPr="008933AC">
        <w:rPr>
          <w:rFonts w:ascii="Tahoma" w:eastAsia="Arial Unicode MS" w:hAnsi="Tahoma" w:cs="Tahoma"/>
          <w:sz w:val="24"/>
          <w:szCs w:val="24"/>
        </w:rPr>
        <w:t>nas originales de sellos digitales, códigos bidimensionales, también denominados Códigos QR”.</w:t>
      </w:r>
    </w:p>
    <w:p w:rsidR="00722FE9" w:rsidRPr="008933AC" w:rsidRDefault="00722FE9" w:rsidP="00A462CB">
      <w:pPr>
        <w:spacing w:after="0" w:line="276" w:lineRule="auto"/>
        <w:jc w:val="both"/>
        <w:rPr>
          <w:rFonts w:ascii="Tahoma" w:eastAsia="Arial Unicode MS" w:hAnsi="Tahoma" w:cs="Tahoma"/>
          <w:sz w:val="24"/>
          <w:szCs w:val="24"/>
        </w:rPr>
      </w:pPr>
      <w:r w:rsidRPr="008933AC">
        <w:rPr>
          <w:rFonts w:ascii="Tahoma" w:eastAsia="Arial Unicode MS" w:hAnsi="Tahoma" w:cs="Tahoma"/>
          <w:sz w:val="24"/>
          <w:szCs w:val="24"/>
        </w:rPr>
        <w:t xml:space="preserve"> </w:t>
      </w:r>
    </w:p>
    <w:p w:rsidR="00722FE9" w:rsidRPr="008933AC" w:rsidRDefault="00722FE9" w:rsidP="00A462CB">
      <w:pPr>
        <w:spacing w:after="0" w:line="276" w:lineRule="auto"/>
        <w:jc w:val="both"/>
        <w:rPr>
          <w:rFonts w:ascii="Tahoma" w:hAnsi="Tahoma" w:cs="Tahoma"/>
          <w:sz w:val="24"/>
          <w:szCs w:val="24"/>
        </w:rPr>
      </w:pPr>
      <w:r w:rsidRPr="008933AC">
        <w:rPr>
          <w:rFonts w:ascii="Tahoma" w:eastAsia="Arial Unicode MS" w:hAnsi="Tahoma" w:cs="Tahoma"/>
          <w:sz w:val="24"/>
          <w:szCs w:val="24"/>
        </w:rPr>
        <w:t>Sobre el particular, el suscrito considera que era pertinente restringir la clasificación únicamente por lo que hace a estos que en efecto permitan acceder a datos personales de las personas físicas, como el caso de la cuenta bancaria, que también analiza la Ponencia Resolutora, con exclusión de aquellas claves que permitan identificar el Registro Federal de Contribuyentes de personas jurídico-colectivas, personas físicas o del propio sujeto Obligado, en razón de lo siguiente:</w:t>
      </w:r>
    </w:p>
    <w:p w:rsidR="00722FE9" w:rsidRPr="008933AC" w:rsidRDefault="00722FE9" w:rsidP="00A462CB">
      <w:pPr>
        <w:spacing w:after="0" w:line="276" w:lineRule="auto"/>
        <w:jc w:val="both"/>
        <w:rPr>
          <w:rFonts w:ascii="Tahoma" w:hAnsi="Tahoma" w:cs="Tahoma"/>
          <w:sz w:val="24"/>
          <w:szCs w:val="24"/>
        </w:rPr>
      </w:pPr>
    </w:p>
    <w:p w:rsidR="00467ACB" w:rsidRPr="008933AC" w:rsidRDefault="00485822" w:rsidP="00A462CB">
      <w:pPr>
        <w:spacing w:after="0" w:line="276" w:lineRule="auto"/>
        <w:jc w:val="both"/>
        <w:rPr>
          <w:rFonts w:ascii="Tahoma" w:hAnsi="Tahoma" w:cs="Tahoma"/>
          <w:sz w:val="24"/>
          <w:szCs w:val="24"/>
        </w:rPr>
      </w:pPr>
      <w:r w:rsidRPr="008933AC">
        <w:rPr>
          <w:rFonts w:ascii="Tahoma" w:hAnsi="Tahoma" w:cs="Tahoma"/>
          <w:sz w:val="24"/>
          <w:szCs w:val="24"/>
        </w:rPr>
        <w:t xml:space="preserve">En </w:t>
      </w:r>
      <w:r w:rsidR="0044391A" w:rsidRPr="008933AC">
        <w:rPr>
          <w:rFonts w:ascii="Tahoma" w:hAnsi="Tahoma" w:cs="Tahoma"/>
          <w:sz w:val="24"/>
          <w:szCs w:val="24"/>
        </w:rPr>
        <w:t xml:space="preserve">este caso en particular, se solicitaron los datos que comprueben el ejercicio de recursos públicos del Sujeto Obligado, lo que implica una relación, entre el comprador </w:t>
      </w:r>
      <w:r w:rsidR="00BF1AC9" w:rsidRPr="008933AC">
        <w:rPr>
          <w:rFonts w:ascii="Tahoma" w:hAnsi="Tahoma" w:cs="Tahoma"/>
          <w:sz w:val="24"/>
          <w:szCs w:val="24"/>
        </w:rPr>
        <w:t xml:space="preserve">–Sujeto Obligado-, </w:t>
      </w:r>
      <w:r w:rsidR="0044391A" w:rsidRPr="008933AC">
        <w:rPr>
          <w:rFonts w:ascii="Tahoma" w:hAnsi="Tahoma" w:cs="Tahoma"/>
          <w:sz w:val="24"/>
          <w:szCs w:val="24"/>
        </w:rPr>
        <w:t xml:space="preserve">que no es un particular que tenga derecho a proteger datos personales y el prestador de un servicio que debe por lo menos </w:t>
      </w:r>
      <w:r w:rsidR="007A1071" w:rsidRPr="008933AC">
        <w:rPr>
          <w:rFonts w:ascii="Tahoma" w:hAnsi="Tahoma" w:cs="Tahoma"/>
          <w:sz w:val="24"/>
          <w:szCs w:val="24"/>
        </w:rPr>
        <w:t xml:space="preserve">cumplir un mínimo de requisitos para </w:t>
      </w:r>
      <w:r w:rsidR="00A13E40" w:rsidRPr="008933AC">
        <w:rPr>
          <w:rFonts w:ascii="Tahoma" w:hAnsi="Tahoma" w:cs="Tahoma"/>
          <w:sz w:val="24"/>
          <w:szCs w:val="24"/>
        </w:rPr>
        <w:t>poder</w:t>
      </w:r>
      <w:r w:rsidR="00056BD3" w:rsidRPr="008933AC">
        <w:rPr>
          <w:rFonts w:ascii="Tahoma" w:hAnsi="Tahoma" w:cs="Tahoma"/>
          <w:sz w:val="24"/>
          <w:szCs w:val="24"/>
        </w:rPr>
        <w:t xml:space="preserve"> ser proveedor de</w:t>
      </w:r>
      <w:r w:rsidR="00A13E40" w:rsidRPr="008933AC">
        <w:rPr>
          <w:rFonts w:ascii="Tahoma" w:hAnsi="Tahoma" w:cs="Tahoma"/>
          <w:sz w:val="24"/>
          <w:szCs w:val="24"/>
        </w:rPr>
        <w:t xml:space="preserve"> instituciones públicas</w:t>
      </w:r>
      <w:r w:rsidR="00056BD3" w:rsidRPr="008933AC">
        <w:rPr>
          <w:rFonts w:ascii="Tahoma" w:hAnsi="Tahoma" w:cs="Tahoma"/>
          <w:sz w:val="24"/>
          <w:szCs w:val="24"/>
        </w:rPr>
        <w:t xml:space="preserve">, como estar dado de alta ante la Secretaría de Hacienda y Crédito Público, bajo este contexto, ni el Registro Federal de Contribuyentes </w:t>
      </w:r>
      <w:r w:rsidR="00467ACB" w:rsidRPr="008933AC">
        <w:rPr>
          <w:rFonts w:ascii="Tahoma" w:hAnsi="Tahoma" w:cs="Tahoma"/>
          <w:sz w:val="24"/>
          <w:szCs w:val="24"/>
        </w:rPr>
        <w:t xml:space="preserve">–RFC-, </w:t>
      </w:r>
      <w:r w:rsidR="00056BD3" w:rsidRPr="008933AC">
        <w:rPr>
          <w:rFonts w:ascii="Tahoma" w:hAnsi="Tahoma" w:cs="Tahoma"/>
          <w:sz w:val="24"/>
          <w:szCs w:val="24"/>
        </w:rPr>
        <w:t>del</w:t>
      </w:r>
      <w:r w:rsidR="004E4CA3" w:rsidRPr="008933AC">
        <w:rPr>
          <w:rFonts w:ascii="Tahoma" w:hAnsi="Tahoma" w:cs="Tahoma"/>
          <w:sz w:val="24"/>
          <w:szCs w:val="24"/>
        </w:rPr>
        <w:t xml:space="preserve"> proveedor ni el del Sujeto Obligado, pueden ser clasificados como confidenciales.</w:t>
      </w:r>
    </w:p>
    <w:p w:rsidR="00BF1AC9" w:rsidRPr="008933AC" w:rsidRDefault="00BF1AC9" w:rsidP="00A462CB">
      <w:pPr>
        <w:spacing w:after="0" w:line="276" w:lineRule="auto"/>
        <w:jc w:val="both"/>
        <w:rPr>
          <w:rFonts w:ascii="Tahoma" w:hAnsi="Tahoma" w:cs="Tahoma"/>
          <w:sz w:val="24"/>
          <w:szCs w:val="24"/>
        </w:rPr>
      </w:pPr>
    </w:p>
    <w:p w:rsidR="00BF1AC9" w:rsidRPr="008933AC" w:rsidRDefault="00BF1AC9" w:rsidP="00A462CB">
      <w:pPr>
        <w:spacing w:after="0" w:line="276" w:lineRule="auto"/>
        <w:jc w:val="both"/>
        <w:rPr>
          <w:rFonts w:ascii="Tahoma" w:hAnsi="Tahoma" w:cs="Tahoma"/>
          <w:sz w:val="24"/>
          <w:szCs w:val="24"/>
        </w:rPr>
      </w:pPr>
      <w:r w:rsidRPr="008933AC">
        <w:rPr>
          <w:rFonts w:ascii="Tahoma" w:hAnsi="Tahoma" w:cs="Tahoma"/>
          <w:sz w:val="24"/>
          <w:szCs w:val="24"/>
        </w:rPr>
        <w:t xml:space="preserve">De la relación proporcionada por el Organismo, se advierte que la mayoría de proveedores son personas jurídico-colectivas; </w:t>
      </w:r>
      <w:r w:rsidR="006B16FE" w:rsidRPr="008933AC">
        <w:rPr>
          <w:rFonts w:ascii="Tahoma" w:hAnsi="Tahoma" w:cs="Tahoma"/>
          <w:sz w:val="24"/>
          <w:szCs w:val="24"/>
        </w:rPr>
        <w:t>al respecto</w:t>
      </w:r>
      <w:r w:rsidRPr="008933AC">
        <w:rPr>
          <w:rFonts w:ascii="Tahoma" w:hAnsi="Tahoma" w:cs="Tahoma"/>
          <w:sz w:val="24"/>
          <w:szCs w:val="24"/>
        </w:rPr>
        <w:t>, me he pronunciado en el sentido de que</w:t>
      </w:r>
      <w:r w:rsidR="00A13E40" w:rsidRPr="008933AC">
        <w:rPr>
          <w:rFonts w:ascii="Tahoma" w:hAnsi="Tahoma" w:cs="Tahoma"/>
          <w:sz w:val="24"/>
          <w:szCs w:val="24"/>
        </w:rPr>
        <w:t>,</w:t>
      </w:r>
      <w:r w:rsidRPr="008933AC">
        <w:rPr>
          <w:rFonts w:ascii="Tahoma" w:hAnsi="Tahoma" w:cs="Tahoma"/>
          <w:sz w:val="24"/>
          <w:szCs w:val="24"/>
        </w:rPr>
        <w:t xml:space="preserve"> aun tratándose de personas física</w:t>
      </w:r>
      <w:r w:rsidR="002B2877" w:rsidRPr="008933AC">
        <w:rPr>
          <w:rFonts w:ascii="Tahoma" w:hAnsi="Tahoma" w:cs="Tahoma"/>
          <w:sz w:val="24"/>
          <w:szCs w:val="24"/>
        </w:rPr>
        <w:t>s</w:t>
      </w:r>
      <w:r w:rsidRPr="008933AC">
        <w:rPr>
          <w:rFonts w:ascii="Tahoma" w:hAnsi="Tahoma" w:cs="Tahoma"/>
          <w:sz w:val="24"/>
          <w:szCs w:val="24"/>
        </w:rPr>
        <w:t xml:space="preserve"> no se debe clasificar el RFC, en virtud del interés público que reviste tener la posibilidad de verificar que los proveedores de sujetos obligados están dados de alta ante la autoridad fiscal federal. </w:t>
      </w:r>
    </w:p>
    <w:p w:rsidR="00A13E40" w:rsidRPr="008933AC" w:rsidRDefault="00A13E40" w:rsidP="00A462CB">
      <w:pPr>
        <w:spacing w:after="0" w:line="276" w:lineRule="auto"/>
        <w:jc w:val="both"/>
        <w:rPr>
          <w:rFonts w:ascii="Tahoma" w:hAnsi="Tahoma" w:cs="Tahoma"/>
          <w:sz w:val="24"/>
          <w:szCs w:val="24"/>
        </w:rPr>
      </w:pPr>
    </w:p>
    <w:p w:rsidR="00A13E40" w:rsidRPr="008933AC" w:rsidRDefault="00A13E40" w:rsidP="00A462CB">
      <w:pPr>
        <w:spacing w:after="0" w:line="276" w:lineRule="auto"/>
        <w:jc w:val="both"/>
        <w:rPr>
          <w:rFonts w:ascii="Tahoma" w:hAnsi="Tahoma" w:cs="Tahoma"/>
          <w:sz w:val="24"/>
          <w:szCs w:val="24"/>
        </w:rPr>
      </w:pPr>
      <w:r w:rsidRPr="008933AC">
        <w:rPr>
          <w:rFonts w:ascii="Tahoma" w:hAnsi="Tahoma" w:cs="Tahoma"/>
          <w:sz w:val="24"/>
          <w:szCs w:val="24"/>
        </w:rPr>
        <w:t xml:space="preserve">Así, en un primer término el Registro Federal de Contribuyentes del Sujeto Obligado, no corresponde a un dato personal, en virtud de que no hace identificada ni identificable a una persona, además al tratarse de un Sujeto Obligado de la Ley de Transparencia y Acceso a la Información Pública del Estado de México y Municipios, cualquier ejercicio de recursos públicos es información de naturaleza pública, </w:t>
      </w:r>
      <w:r w:rsidR="002B2877" w:rsidRPr="008933AC">
        <w:rPr>
          <w:rFonts w:ascii="Tahoma" w:hAnsi="Tahoma" w:cs="Tahoma"/>
          <w:sz w:val="24"/>
          <w:szCs w:val="24"/>
        </w:rPr>
        <w:t xml:space="preserve">por  lo que </w:t>
      </w:r>
      <w:r w:rsidRPr="008933AC">
        <w:rPr>
          <w:rFonts w:ascii="Tahoma" w:hAnsi="Tahoma" w:cs="Tahoma"/>
          <w:sz w:val="24"/>
          <w:szCs w:val="24"/>
        </w:rPr>
        <w:t>no se debe dejar abierta la posibilidad a que en la entrega de información se elimine el RFC de los sujetos obligados.</w:t>
      </w:r>
    </w:p>
    <w:p w:rsidR="00363357" w:rsidRPr="008933AC" w:rsidRDefault="00363357" w:rsidP="00A462CB">
      <w:pPr>
        <w:spacing w:after="0" w:line="276" w:lineRule="auto"/>
        <w:jc w:val="both"/>
        <w:rPr>
          <w:rFonts w:ascii="Tahoma" w:hAnsi="Tahoma" w:cs="Tahoma"/>
          <w:sz w:val="24"/>
          <w:szCs w:val="24"/>
        </w:rPr>
      </w:pPr>
    </w:p>
    <w:p w:rsidR="00363357" w:rsidRDefault="00363357" w:rsidP="00A462CB">
      <w:pPr>
        <w:spacing w:after="0" w:line="276" w:lineRule="auto"/>
        <w:ind w:left="102" w:right="76"/>
        <w:jc w:val="both"/>
        <w:rPr>
          <w:rFonts w:ascii="Tahoma" w:hAnsi="Tahoma" w:cs="Tahoma"/>
          <w:sz w:val="24"/>
          <w:szCs w:val="24"/>
        </w:rPr>
      </w:pPr>
      <w:r w:rsidRPr="008933AC">
        <w:rPr>
          <w:rFonts w:ascii="Tahoma" w:hAnsi="Tahoma" w:cs="Tahoma"/>
          <w:sz w:val="24"/>
          <w:szCs w:val="24"/>
        </w:rPr>
        <w:t xml:space="preserve">Respecto de las personas jurídico-colectivas, el Instituto Nacional de Transparencia, Acceso a la Información Pública y Protección de Datos Personales, </w:t>
      </w:r>
      <w:r w:rsidRPr="008933AC">
        <w:rPr>
          <w:rFonts w:ascii="Tahoma" w:hAnsi="Tahoma" w:cs="Tahoma"/>
          <w:sz w:val="24"/>
          <w:szCs w:val="24"/>
        </w:rPr>
        <w:lastRenderedPageBreak/>
        <w:t>ya se ha pronunciado sobre la publicidad del RFC de estas en su Criterio histórico 01/14.</w:t>
      </w:r>
    </w:p>
    <w:p w:rsidR="00BD4C66" w:rsidRDefault="00BD4C66" w:rsidP="00A462CB">
      <w:pPr>
        <w:spacing w:after="0" w:line="276" w:lineRule="auto"/>
        <w:ind w:left="102" w:right="76"/>
        <w:jc w:val="both"/>
        <w:rPr>
          <w:rFonts w:ascii="Tahoma" w:hAnsi="Tahoma" w:cs="Tahoma"/>
          <w:sz w:val="24"/>
          <w:szCs w:val="24"/>
        </w:rPr>
      </w:pPr>
    </w:p>
    <w:p w:rsidR="00363357" w:rsidRPr="008933AC" w:rsidRDefault="00363357" w:rsidP="00A462CB">
      <w:pPr>
        <w:spacing w:after="0" w:line="276" w:lineRule="auto"/>
        <w:ind w:left="567" w:right="567"/>
        <w:jc w:val="both"/>
        <w:rPr>
          <w:rFonts w:ascii="Tahoma" w:eastAsia="Arial" w:hAnsi="Tahoma" w:cs="Tahoma"/>
          <w:sz w:val="24"/>
          <w:szCs w:val="24"/>
        </w:rPr>
      </w:pPr>
      <w:r w:rsidRPr="008933AC">
        <w:rPr>
          <w:rFonts w:ascii="Tahoma" w:hAnsi="Tahoma" w:cs="Tahoma"/>
          <w:sz w:val="24"/>
          <w:szCs w:val="24"/>
        </w:rPr>
        <w:t>“</w:t>
      </w:r>
      <w:r w:rsidRPr="008933AC">
        <w:rPr>
          <w:rFonts w:ascii="Tahoma" w:eastAsia="Arial" w:hAnsi="Tahoma" w:cs="Tahoma"/>
          <w:b/>
          <w:sz w:val="24"/>
          <w:szCs w:val="24"/>
        </w:rPr>
        <w:t>Denominación o razón social, y Registro Federal de Contribuyentes de personas morales,</w:t>
      </w:r>
      <w:r w:rsidR="00BD4C66">
        <w:rPr>
          <w:rFonts w:ascii="Tahoma" w:eastAsia="Arial" w:hAnsi="Tahoma" w:cs="Tahoma"/>
          <w:b/>
          <w:sz w:val="24"/>
          <w:szCs w:val="24"/>
        </w:rPr>
        <w:t xml:space="preserve"> </w:t>
      </w:r>
      <w:r w:rsidRPr="008933AC">
        <w:rPr>
          <w:rFonts w:ascii="Tahoma" w:eastAsia="Arial" w:hAnsi="Tahoma" w:cs="Tahoma"/>
          <w:b/>
          <w:sz w:val="24"/>
          <w:szCs w:val="24"/>
        </w:rPr>
        <w:t xml:space="preserve">no constituyen información confidencial. </w:t>
      </w:r>
      <w:r w:rsidRPr="008933AC">
        <w:rPr>
          <w:rFonts w:ascii="Tahoma" w:eastAsia="Arial" w:hAnsi="Tahoma" w:cs="Tahoma"/>
          <w:sz w:val="24"/>
          <w:szCs w:val="24"/>
        </w:rPr>
        <w:t xml:space="preserve">La denominación o razón social de personas morales es pública, por encontrarse inscritas en el Registro Público de Comercio. </w:t>
      </w:r>
      <w:r w:rsidRPr="008933AC">
        <w:rPr>
          <w:rFonts w:ascii="Tahoma" w:eastAsia="Arial" w:hAnsi="Tahoma" w:cs="Tahoma"/>
          <w:b/>
          <w:sz w:val="24"/>
          <w:szCs w:val="24"/>
        </w:rPr>
        <w:t>Por lo que respecta a su Registro Federal de Contribuyentes (RFC), en principio, también es público</w:t>
      </w:r>
      <w:r w:rsidRPr="008933AC">
        <w:rPr>
          <w:rFonts w:ascii="Tahoma" w:eastAsia="Arial" w:hAnsi="Tahoma" w:cs="Tahoma"/>
          <w:sz w:val="24"/>
          <w:szCs w:val="24"/>
        </w:rPr>
        <w:t>, ya que no se refiere a hechos o actos de  carácter económico, contable, jurídico o a sus competidores, en términos</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lo dispuesto</w:t>
      </w:r>
      <w:r w:rsidR="0002483E" w:rsidRPr="008933AC">
        <w:rPr>
          <w:rFonts w:ascii="Tahoma" w:eastAsia="Arial" w:hAnsi="Tahoma" w:cs="Tahoma"/>
          <w:sz w:val="24"/>
          <w:szCs w:val="24"/>
        </w:rPr>
        <w:t xml:space="preserve"> </w:t>
      </w:r>
      <w:r w:rsidRPr="008933AC">
        <w:rPr>
          <w:rFonts w:ascii="Tahoma" w:eastAsia="Arial" w:hAnsi="Tahoma" w:cs="Tahoma"/>
          <w:sz w:val="24"/>
          <w:szCs w:val="24"/>
        </w:rPr>
        <w:t>en el artículo</w:t>
      </w:r>
      <w:r w:rsidR="0002483E" w:rsidRPr="008933AC">
        <w:rPr>
          <w:rFonts w:ascii="Tahoma" w:eastAsia="Arial" w:hAnsi="Tahoma" w:cs="Tahoma"/>
          <w:sz w:val="24"/>
          <w:szCs w:val="24"/>
        </w:rPr>
        <w:t xml:space="preserve"> </w:t>
      </w:r>
      <w:r w:rsidRPr="008933AC">
        <w:rPr>
          <w:rFonts w:ascii="Tahoma" w:eastAsia="Arial" w:hAnsi="Tahoma" w:cs="Tahoma"/>
          <w:sz w:val="24"/>
          <w:szCs w:val="24"/>
        </w:rPr>
        <w:t>18, fracción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I</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la</w:t>
      </w:r>
      <w:r w:rsidR="0002483E" w:rsidRPr="008933AC">
        <w:rPr>
          <w:rFonts w:ascii="Tahoma" w:eastAsia="Arial" w:hAnsi="Tahoma" w:cs="Tahoma"/>
          <w:sz w:val="24"/>
          <w:szCs w:val="24"/>
        </w:rPr>
        <w:t xml:space="preserve"> </w:t>
      </w:r>
      <w:r w:rsidRPr="008933AC">
        <w:rPr>
          <w:rFonts w:ascii="Tahoma" w:eastAsia="Arial" w:hAnsi="Tahoma" w:cs="Tahoma"/>
          <w:sz w:val="24"/>
          <w:szCs w:val="24"/>
        </w:rPr>
        <w:t>Ley</w:t>
      </w:r>
      <w:r w:rsidR="0002483E" w:rsidRPr="008933AC">
        <w:rPr>
          <w:rFonts w:ascii="Tahoma" w:eastAsia="Arial" w:hAnsi="Tahoma" w:cs="Tahoma"/>
          <w:sz w:val="24"/>
          <w:szCs w:val="24"/>
        </w:rPr>
        <w:t xml:space="preserve"> </w:t>
      </w:r>
      <w:r w:rsidRPr="008933AC">
        <w:rPr>
          <w:rFonts w:ascii="Tahoma" w:eastAsia="Arial" w:hAnsi="Tahoma" w:cs="Tahoma"/>
          <w:sz w:val="24"/>
          <w:szCs w:val="24"/>
        </w:rPr>
        <w:t>Federal de Transparencia</w:t>
      </w:r>
      <w:r w:rsidR="0002483E" w:rsidRPr="008933AC">
        <w:rPr>
          <w:rFonts w:ascii="Tahoma" w:eastAsia="Arial" w:hAnsi="Tahoma" w:cs="Tahoma"/>
          <w:sz w:val="24"/>
          <w:szCs w:val="24"/>
        </w:rPr>
        <w:t xml:space="preserve"> </w:t>
      </w:r>
      <w:r w:rsidRPr="008933AC">
        <w:rPr>
          <w:rFonts w:ascii="Tahoma" w:eastAsia="Arial" w:hAnsi="Tahoma" w:cs="Tahoma"/>
          <w:sz w:val="24"/>
          <w:szCs w:val="24"/>
        </w:rPr>
        <w:t>y Acceso</w:t>
      </w:r>
      <w:r w:rsidR="0002483E" w:rsidRPr="008933AC">
        <w:rPr>
          <w:rFonts w:ascii="Tahoma" w:eastAsia="Arial" w:hAnsi="Tahoma" w:cs="Tahoma"/>
          <w:sz w:val="24"/>
          <w:szCs w:val="24"/>
        </w:rPr>
        <w:t xml:space="preserve"> </w:t>
      </w:r>
      <w:r w:rsidRPr="008933AC">
        <w:rPr>
          <w:rFonts w:ascii="Tahoma" w:eastAsia="Arial" w:hAnsi="Tahoma" w:cs="Tahoma"/>
          <w:sz w:val="24"/>
          <w:szCs w:val="24"/>
        </w:rPr>
        <w:t>a</w:t>
      </w:r>
      <w:r w:rsidR="0002483E" w:rsidRPr="008933AC">
        <w:rPr>
          <w:rFonts w:ascii="Tahoma" w:eastAsia="Arial" w:hAnsi="Tahoma" w:cs="Tahoma"/>
          <w:sz w:val="24"/>
          <w:szCs w:val="24"/>
        </w:rPr>
        <w:t xml:space="preserve"> </w:t>
      </w:r>
      <w:r w:rsidRPr="008933AC">
        <w:rPr>
          <w:rFonts w:ascii="Tahoma" w:eastAsia="Arial" w:hAnsi="Tahoma" w:cs="Tahoma"/>
          <w:sz w:val="24"/>
          <w:szCs w:val="24"/>
        </w:rPr>
        <w:t>la</w:t>
      </w:r>
      <w:r w:rsidR="0002483E" w:rsidRPr="008933AC">
        <w:rPr>
          <w:rFonts w:ascii="Tahoma" w:eastAsia="Arial" w:hAnsi="Tahoma" w:cs="Tahoma"/>
          <w:sz w:val="24"/>
          <w:szCs w:val="24"/>
        </w:rPr>
        <w:t xml:space="preserve"> </w:t>
      </w:r>
      <w:r w:rsidRPr="008933AC">
        <w:rPr>
          <w:rFonts w:ascii="Tahoma" w:eastAsia="Arial" w:hAnsi="Tahoma" w:cs="Tahoma"/>
          <w:sz w:val="24"/>
          <w:szCs w:val="24"/>
        </w:rPr>
        <w:t>Información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Pública</w:t>
      </w:r>
      <w:r w:rsidR="0002483E" w:rsidRPr="008933AC">
        <w:rPr>
          <w:rFonts w:ascii="Tahoma" w:eastAsia="Arial" w:hAnsi="Tahoma" w:cs="Tahoma"/>
          <w:sz w:val="24"/>
          <w:szCs w:val="24"/>
        </w:rPr>
        <w:t xml:space="preserve"> </w:t>
      </w:r>
      <w:r w:rsidRPr="008933AC">
        <w:rPr>
          <w:rFonts w:ascii="Tahoma" w:eastAsia="Arial" w:hAnsi="Tahoma" w:cs="Tahoma"/>
          <w:sz w:val="24"/>
          <w:szCs w:val="24"/>
        </w:rPr>
        <w:t>Gubernamental</w:t>
      </w:r>
      <w:r w:rsidR="0002483E" w:rsidRPr="008933AC">
        <w:rPr>
          <w:rFonts w:ascii="Tahoma" w:eastAsia="Arial" w:hAnsi="Tahoma" w:cs="Tahoma"/>
          <w:sz w:val="24"/>
          <w:szCs w:val="24"/>
        </w:rPr>
        <w:t xml:space="preserve"> </w:t>
      </w:r>
      <w:r w:rsidRPr="008933AC">
        <w:rPr>
          <w:rFonts w:ascii="Tahoma" w:eastAsia="Arial" w:hAnsi="Tahoma" w:cs="Tahoma"/>
          <w:sz w:val="24"/>
          <w:szCs w:val="24"/>
        </w:rPr>
        <w:t>y</w:t>
      </w:r>
      <w:r w:rsidR="0002483E" w:rsidRPr="008933AC">
        <w:rPr>
          <w:rFonts w:ascii="Tahoma" w:eastAsia="Arial" w:hAnsi="Tahoma" w:cs="Tahoma"/>
          <w:sz w:val="24"/>
          <w:szCs w:val="24"/>
        </w:rPr>
        <w:t xml:space="preserve"> </w:t>
      </w:r>
      <w:r w:rsidRPr="008933AC">
        <w:rPr>
          <w:rFonts w:ascii="Tahoma" w:eastAsia="Arial" w:hAnsi="Tahoma" w:cs="Tahoma"/>
          <w:sz w:val="24"/>
          <w:szCs w:val="24"/>
        </w:rPr>
        <w:t>en el Trigésimo Sexto</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los</w:t>
      </w:r>
      <w:r w:rsidR="0002483E" w:rsidRPr="008933AC">
        <w:rPr>
          <w:rFonts w:ascii="Tahoma" w:eastAsia="Arial" w:hAnsi="Tahoma" w:cs="Tahoma"/>
          <w:sz w:val="24"/>
          <w:szCs w:val="24"/>
        </w:rPr>
        <w:t xml:space="preserve"> </w:t>
      </w:r>
      <w:r w:rsidRPr="008933AC">
        <w:rPr>
          <w:rFonts w:ascii="Tahoma" w:eastAsia="Arial" w:hAnsi="Tahoma" w:cs="Tahoma"/>
          <w:sz w:val="24"/>
          <w:szCs w:val="24"/>
        </w:rPr>
        <w:t>Lineamientos</w:t>
      </w:r>
      <w:r w:rsidR="0002483E" w:rsidRPr="008933AC">
        <w:rPr>
          <w:rFonts w:ascii="Tahoma" w:eastAsia="Arial" w:hAnsi="Tahoma" w:cs="Tahoma"/>
          <w:sz w:val="24"/>
          <w:szCs w:val="24"/>
        </w:rPr>
        <w:t xml:space="preserve"> </w:t>
      </w:r>
      <w:r w:rsidRPr="008933AC">
        <w:rPr>
          <w:rFonts w:ascii="Tahoma" w:eastAsia="Arial" w:hAnsi="Tahoma" w:cs="Tahoma"/>
          <w:sz w:val="24"/>
          <w:szCs w:val="24"/>
        </w:rPr>
        <w:t>Generales para</w:t>
      </w:r>
      <w:r w:rsidR="0002483E" w:rsidRPr="008933AC">
        <w:rPr>
          <w:rFonts w:ascii="Tahoma" w:eastAsia="Arial" w:hAnsi="Tahoma" w:cs="Tahoma"/>
          <w:sz w:val="24"/>
          <w:szCs w:val="24"/>
        </w:rPr>
        <w:t xml:space="preserve"> </w:t>
      </w:r>
      <w:r w:rsidRPr="008933AC">
        <w:rPr>
          <w:rFonts w:ascii="Tahoma" w:eastAsia="Arial" w:hAnsi="Tahoma" w:cs="Tahoma"/>
          <w:sz w:val="24"/>
          <w:szCs w:val="24"/>
        </w:rPr>
        <w:t>la</w:t>
      </w:r>
      <w:r w:rsidR="0002483E" w:rsidRPr="008933AC">
        <w:rPr>
          <w:rFonts w:ascii="Tahoma" w:eastAsia="Arial" w:hAnsi="Tahoma" w:cs="Tahoma"/>
          <w:sz w:val="24"/>
          <w:szCs w:val="24"/>
        </w:rPr>
        <w:t xml:space="preserve"> </w:t>
      </w:r>
      <w:r w:rsidRPr="008933AC">
        <w:rPr>
          <w:rFonts w:ascii="Tahoma" w:eastAsia="Arial" w:hAnsi="Tahoma" w:cs="Tahoma"/>
          <w:sz w:val="24"/>
          <w:szCs w:val="24"/>
        </w:rPr>
        <w:t>clasificación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y</w:t>
      </w:r>
      <w:r w:rsidR="0002483E" w:rsidRPr="008933AC">
        <w:rPr>
          <w:rFonts w:ascii="Tahoma" w:eastAsia="Arial" w:hAnsi="Tahoma" w:cs="Tahoma"/>
          <w:sz w:val="24"/>
          <w:szCs w:val="24"/>
        </w:rPr>
        <w:t xml:space="preserve"> </w:t>
      </w:r>
      <w:r w:rsidRPr="008933AC">
        <w:rPr>
          <w:rFonts w:ascii="Tahoma" w:eastAsia="Arial" w:hAnsi="Tahoma" w:cs="Tahoma"/>
          <w:sz w:val="24"/>
          <w:szCs w:val="24"/>
        </w:rPr>
        <w:t>desclasificación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la información de</w:t>
      </w:r>
      <w:r w:rsidR="0002483E" w:rsidRPr="008933AC">
        <w:rPr>
          <w:rFonts w:ascii="Tahoma" w:eastAsia="Arial" w:hAnsi="Tahoma" w:cs="Tahoma"/>
          <w:sz w:val="24"/>
          <w:szCs w:val="24"/>
        </w:rPr>
        <w:t xml:space="preserve"> </w:t>
      </w:r>
      <w:r w:rsidRPr="008933AC">
        <w:rPr>
          <w:rFonts w:ascii="Tahoma" w:eastAsia="Arial" w:hAnsi="Tahoma" w:cs="Tahoma"/>
          <w:sz w:val="24"/>
          <w:szCs w:val="24"/>
        </w:rPr>
        <w:t>las dependencias</w:t>
      </w:r>
      <w:r w:rsidR="0002483E" w:rsidRPr="008933AC">
        <w:rPr>
          <w:rFonts w:ascii="Tahoma" w:eastAsia="Arial" w:hAnsi="Tahoma" w:cs="Tahoma"/>
          <w:sz w:val="24"/>
          <w:szCs w:val="24"/>
        </w:rPr>
        <w:t xml:space="preserve"> </w:t>
      </w:r>
      <w:r w:rsidRPr="008933AC">
        <w:rPr>
          <w:rFonts w:ascii="Tahoma" w:eastAsia="Arial" w:hAnsi="Tahoma" w:cs="Tahoma"/>
          <w:sz w:val="24"/>
          <w:szCs w:val="24"/>
        </w:rPr>
        <w:t>y entidades</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la Administración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Pública</w:t>
      </w:r>
      <w:r w:rsidR="0002483E" w:rsidRPr="008933AC">
        <w:rPr>
          <w:rFonts w:ascii="Tahoma" w:eastAsia="Arial" w:hAnsi="Tahoma" w:cs="Tahoma"/>
          <w:sz w:val="24"/>
          <w:szCs w:val="24"/>
        </w:rPr>
        <w:t xml:space="preserve"> </w:t>
      </w:r>
      <w:r w:rsidRPr="008933AC">
        <w:rPr>
          <w:rFonts w:ascii="Tahoma" w:eastAsia="Arial" w:hAnsi="Tahoma" w:cs="Tahoma"/>
          <w:sz w:val="24"/>
          <w:szCs w:val="24"/>
        </w:rPr>
        <w:t>Federal; aunado</w:t>
      </w:r>
      <w:r w:rsidR="0002483E" w:rsidRPr="008933AC">
        <w:rPr>
          <w:rFonts w:ascii="Tahoma" w:eastAsia="Arial" w:hAnsi="Tahoma" w:cs="Tahoma"/>
          <w:sz w:val="24"/>
          <w:szCs w:val="24"/>
        </w:rPr>
        <w:t xml:space="preserve"> </w:t>
      </w:r>
      <w:r w:rsidRPr="008933AC">
        <w:rPr>
          <w:rFonts w:ascii="Tahoma" w:eastAsia="Arial" w:hAnsi="Tahoma" w:cs="Tahoma"/>
          <w:sz w:val="24"/>
          <w:szCs w:val="24"/>
        </w:rPr>
        <w:t>al</w:t>
      </w:r>
      <w:r w:rsidR="0002483E" w:rsidRPr="008933AC">
        <w:rPr>
          <w:rFonts w:ascii="Tahoma" w:eastAsia="Arial" w:hAnsi="Tahoma" w:cs="Tahoma"/>
          <w:sz w:val="24"/>
          <w:szCs w:val="24"/>
        </w:rPr>
        <w:t xml:space="preserve"> </w:t>
      </w:r>
      <w:r w:rsidRPr="008933AC">
        <w:rPr>
          <w:rFonts w:ascii="Tahoma" w:eastAsia="Arial" w:hAnsi="Tahoma" w:cs="Tahoma"/>
          <w:sz w:val="24"/>
          <w:szCs w:val="24"/>
        </w:rPr>
        <w:t>hecho</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que</w:t>
      </w:r>
      <w:r w:rsidR="0002483E" w:rsidRPr="008933AC">
        <w:rPr>
          <w:rFonts w:ascii="Tahoma" w:eastAsia="Arial" w:hAnsi="Tahoma" w:cs="Tahoma"/>
          <w:sz w:val="24"/>
          <w:szCs w:val="24"/>
        </w:rPr>
        <w:t xml:space="preserve"> </w:t>
      </w:r>
      <w:r w:rsidRPr="008933AC">
        <w:rPr>
          <w:rFonts w:ascii="Tahoma" w:eastAsia="Arial" w:hAnsi="Tahoma" w:cs="Tahoma"/>
          <w:sz w:val="24"/>
          <w:szCs w:val="24"/>
        </w:rPr>
        <w:t>tampoco</w:t>
      </w:r>
      <w:r w:rsidR="0002483E" w:rsidRPr="008933AC">
        <w:rPr>
          <w:rFonts w:ascii="Tahoma" w:eastAsia="Arial" w:hAnsi="Tahoma" w:cs="Tahoma"/>
          <w:sz w:val="24"/>
          <w:szCs w:val="24"/>
        </w:rPr>
        <w:t xml:space="preserve"> </w:t>
      </w:r>
      <w:r w:rsidRPr="008933AC">
        <w:rPr>
          <w:rFonts w:ascii="Tahoma" w:eastAsia="Arial" w:hAnsi="Tahoma" w:cs="Tahoma"/>
          <w:sz w:val="24"/>
          <w:szCs w:val="24"/>
        </w:rPr>
        <w:t>se</w:t>
      </w:r>
      <w:r w:rsidR="0002483E" w:rsidRPr="008933AC">
        <w:rPr>
          <w:rFonts w:ascii="Tahoma" w:eastAsia="Arial" w:hAnsi="Tahoma" w:cs="Tahoma"/>
          <w:sz w:val="24"/>
          <w:szCs w:val="24"/>
        </w:rPr>
        <w:t xml:space="preserve"> </w:t>
      </w:r>
      <w:r w:rsidRPr="008933AC">
        <w:rPr>
          <w:rFonts w:ascii="Tahoma" w:eastAsia="Arial" w:hAnsi="Tahoma" w:cs="Tahoma"/>
          <w:sz w:val="24"/>
          <w:szCs w:val="24"/>
        </w:rPr>
        <w:t>trata</w:t>
      </w:r>
      <w:r w:rsidR="0002483E" w:rsidRPr="008933AC">
        <w:rPr>
          <w:rFonts w:ascii="Tahoma" w:eastAsia="Arial" w:hAnsi="Tahoma" w:cs="Tahoma"/>
          <w:sz w:val="24"/>
          <w:szCs w:val="24"/>
        </w:rPr>
        <w:t xml:space="preserve"> </w:t>
      </w:r>
      <w:r w:rsidRPr="008933AC">
        <w:rPr>
          <w:rFonts w:ascii="Tahoma" w:eastAsia="Arial" w:hAnsi="Tahoma" w:cs="Tahoma"/>
          <w:sz w:val="24"/>
          <w:szCs w:val="24"/>
        </w:rPr>
        <w:t>de</w:t>
      </w:r>
      <w:r w:rsidR="0002483E" w:rsidRPr="008933AC">
        <w:rPr>
          <w:rFonts w:ascii="Tahoma" w:eastAsia="Arial" w:hAnsi="Tahoma" w:cs="Tahoma"/>
          <w:sz w:val="24"/>
          <w:szCs w:val="24"/>
        </w:rPr>
        <w:t xml:space="preserve"> </w:t>
      </w:r>
      <w:r w:rsidRPr="008933AC">
        <w:rPr>
          <w:rFonts w:ascii="Tahoma" w:eastAsia="Arial" w:hAnsi="Tahoma" w:cs="Tahoma"/>
          <w:sz w:val="24"/>
          <w:szCs w:val="24"/>
        </w:rPr>
        <w:t>información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concerniente</w:t>
      </w:r>
      <w:r w:rsidR="0002483E" w:rsidRPr="008933AC">
        <w:rPr>
          <w:rFonts w:ascii="Tahoma" w:eastAsia="Arial" w:hAnsi="Tahoma" w:cs="Tahoma"/>
          <w:sz w:val="24"/>
          <w:szCs w:val="24"/>
        </w:rPr>
        <w:t xml:space="preserve"> </w:t>
      </w:r>
      <w:r w:rsidRPr="008933AC">
        <w:rPr>
          <w:rFonts w:ascii="Tahoma" w:eastAsia="Arial" w:hAnsi="Tahoma" w:cs="Tahoma"/>
          <w:sz w:val="24"/>
          <w:szCs w:val="24"/>
        </w:rPr>
        <w:t>a personas físicas, por</w:t>
      </w:r>
      <w:r w:rsidR="0002483E" w:rsidRPr="008933AC">
        <w:rPr>
          <w:rFonts w:ascii="Tahoma" w:eastAsia="Arial" w:hAnsi="Tahoma" w:cs="Tahoma"/>
          <w:sz w:val="24"/>
          <w:szCs w:val="24"/>
        </w:rPr>
        <w:t xml:space="preserve"> </w:t>
      </w:r>
      <w:r w:rsidRPr="008933AC">
        <w:rPr>
          <w:rFonts w:ascii="Tahoma" w:eastAsia="Arial" w:hAnsi="Tahoma" w:cs="Tahoma"/>
          <w:sz w:val="24"/>
          <w:szCs w:val="24"/>
        </w:rPr>
        <w:t>lo</w:t>
      </w:r>
      <w:r w:rsidR="0002483E" w:rsidRPr="008933AC">
        <w:rPr>
          <w:rFonts w:ascii="Tahoma" w:eastAsia="Arial" w:hAnsi="Tahoma" w:cs="Tahoma"/>
          <w:sz w:val="24"/>
          <w:szCs w:val="24"/>
        </w:rPr>
        <w:t xml:space="preserve"> </w:t>
      </w:r>
      <w:r w:rsidRPr="008933AC">
        <w:rPr>
          <w:rFonts w:ascii="Tahoma" w:eastAsia="Arial" w:hAnsi="Tahoma" w:cs="Tahoma"/>
          <w:sz w:val="24"/>
          <w:szCs w:val="24"/>
        </w:rPr>
        <w:t>que</w:t>
      </w:r>
      <w:r w:rsidR="0002483E" w:rsidRPr="008933AC">
        <w:rPr>
          <w:rFonts w:ascii="Tahoma" w:eastAsia="Arial" w:hAnsi="Tahoma" w:cs="Tahoma"/>
          <w:sz w:val="24"/>
          <w:szCs w:val="24"/>
        </w:rPr>
        <w:t xml:space="preserve"> </w:t>
      </w:r>
      <w:r w:rsidRPr="008933AC">
        <w:rPr>
          <w:rFonts w:ascii="Tahoma" w:eastAsia="Arial" w:hAnsi="Tahoma" w:cs="Tahoma"/>
          <w:sz w:val="24"/>
          <w:szCs w:val="24"/>
        </w:rPr>
        <w:t>no puede</w:t>
      </w:r>
      <w:r w:rsidR="0002483E" w:rsidRPr="008933AC">
        <w:rPr>
          <w:rFonts w:ascii="Tahoma" w:eastAsia="Arial" w:hAnsi="Tahoma" w:cs="Tahoma"/>
          <w:sz w:val="24"/>
          <w:szCs w:val="24"/>
        </w:rPr>
        <w:t xml:space="preserve"> </w:t>
      </w:r>
      <w:r w:rsidRPr="008933AC">
        <w:rPr>
          <w:rFonts w:ascii="Tahoma" w:eastAsia="Arial" w:hAnsi="Tahoma" w:cs="Tahoma"/>
          <w:sz w:val="24"/>
          <w:szCs w:val="24"/>
        </w:rPr>
        <w:t>considerarse</w:t>
      </w:r>
      <w:r w:rsidR="0002483E" w:rsidRPr="008933AC">
        <w:rPr>
          <w:rFonts w:ascii="Tahoma" w:eastAsia="Arial" w:hAnsi="Tahoma" w:cs="Tahoma"/>
          <w:sz w:val="24"/>
          <w:szCs w:val="24"/>
        </w:rPr>
        <w:t xml:space="preserve"> </w:t>
      </w:r>
      <w:r w:rsidRPr="008933AC">
        <w:rPr>
          <w:rFonts w:ascii="Tahoma" w:eastAsia="Arial" w:hAnsi="Tahoma" w:cs="Tahoma"/>
          <w:sz w:val="24"/>
          <w:szCs w:val="24"/>
        </w:rPr>
        <w:t>un</w:t>
      </w:r>
      <w:r w:rsidR="0002483E" w:rsidRPr="008933AC">
        <w:rPr>
          <w:rFonts w:ascii="Tahoma" w:eastAsia="Arial" w:hAnsi="Tahoma" w:cs="Tahoma"/>
          <w:sz w:val="24"/>
          <w:szCs w:val="24"/>
        </w:rPr>
        <w:t xml:space="preserve"> </w:t>
      </w:r>
      <w:r w:rsidRPr="008933AC">
        <w:rPr>
          <w:rFonts w:ascii="Tahoma" w:eastAsia="Arial" w:hAnsi="Tahoma" w:cs="Tahoma"/>
          <w:sz w:val="24"/>
          <w:szCs w:val="24"/>
        </w:rPr>
        <w:t>dato personal,</w:t>
      </w:r>
      <w:r w:rsidR="0002483E" w:rsidRPr="008933AC">
        <w:rPr>
          <w:rFonts w:ascii="Tahoma" w:eastAsia="Arial" w:hAnsi="Tahoma" w:cs="Tahoma"/>
          <w:sz w:val="24"/>
          <w:szCs w:val="24"/>
        </w:rPr>
        <w:t xml:space="preserve"> </w:t>
      </w:r>
      <w:r w:rsidRPr="008933AC">
        <w:rPr>
          <w:rFonts w:ascii="Tahoma" w:eastAsia="Arial" w:hAnsi="Tahoma" w:cs="Tahoma"/>
          <w:sz w:val="24"/>
          <w:szCs w:val="24"/>
        </w:rPr>
        <w:t>con fundamento</w:t>
      </w:r>
      <w:r w:rsidR="0002483E" w:rsidRPr="008933AC">
        <w:rPr>
          <w:rFonts w:ascii="Tahoma" w:eastAsia="Arial" w:hAnsi="Tahoma" w:cs="Tahoma"/>
          <w:sz w:val="24"/>
          <w:szCs w:val="24"/>
        </w:rPr>
        <w:t xml:space="preserve"> </w:t>
      </w:r>
      <w:r w:rsidRPr="008933AC">
        <w:rPr>
          <w:rFonts w:ascii="Tahoma" w:eastAsia="Arial" w:hAnsi="Tahoma" w:cs="Tahoma"/>
          <w:sz w:val="24"/>
          <w:szCs w:val="24"/>
        </w:rPr>
        <w:t>en</w:t>
      </w:r>
      <w:r w:rsidR="0002483E" w:rsidRPr="008933AC">
        <w:rPr>
          <w:rFonts w:ascii="Tahoma" w:eastAsia="Arial" w:hAnsi="Tahoma" w:cs="Tahoma"/>
          <w:sz w:val="24"/>
          <w:szCs w:val="24"/>
        </w:rPr>
        <w:t xml:space="preserve"> </w:t>
      </w:r>
      <w:r w:rsidRPr="008933AC">
        <w:rPr>
          <w:rFonts w:ascii="Tahoma" w:eastAsia="Arial" w:hAnsi="Tahoma" w:cs="Tahoma"/>
          <w:sz w:val="24"/>
          <w:szCs w:val="24"/>
        </w:rPr>
        <w:t>lo previsto</w:t>
      </w:r>
      <w:r w:rsidR="0002483E" w:rsidRPr="008933AC">
        <w:rPr>
          <w:rFonts w:ascii="Tahoma" w:eastAsia="Arial" w:hAnsi="Tahoma" w:cs="Tahoma"/>
          <w:sz w:val="24"/>
          <w:szCs w:val="24"/>
        </w:rPr>
        <w:t xml:space="preserve"> </w:t>
      </w:r>
      <w:r w:rsidRPr="008933AC">
        <w:rPr>
          <w:rFonts w:ascii="Tahoma" w:eastAsia="Arial" w:hAnsi="Tahoma" w:cs="Tahoma"/>
          <w:sz w:val="24"/>
          <w:szCs w:val="24"/>
        </w:rPr>
        <w:t>en el artículo 18,</w:t>
      </w:r>
      <w:r w:rsidR="0002483E" w:rsidRPr="008933AC">
        <w:rPr>
          <w:rFonts w:ascii="Tahoma" w:eastAsia="Arial" w:hAnsi="Tahoma" w:cs="Tahoma"/>
          <w:sz w:val="24"/>
          <w:szCs w:val="24"/>
        </w:rPr>
        <w:t xml:space="preserve"> </w:t>
      </w:r>
      <w:r w:rsidRPr="008933AC">
        <w:rPr>
          <w:rFonts w:ascii="Tahoma" w:eastAsia="Arial" w:hAnsi="Tahoma" w:cs="Tahoma"/>
          <w:sz w:val="24"/>
          <w:szCs w:val="24"/>
        </w:rPr>
        <w:t>fracción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II de ese</w:t>
      </w:r>
      <w:r w:rsidR="0002483E" w:rsidRPr="008933AC">
        <w:rPr>
          <w:rFonts w:ascii="Tahoma" w:eastAsia="Arial" w:hAnsi="Tahoma" w:cs="Tahoma"/>
          <w:sz w:val="24"/>
          <w:szCs w:val="24"/>
        </w:rPr>
        <w:t xml:space="preserve"> </w:t>
      </w:r>
      <w:r w:rsidRPr="008933AC">
        <w:rPr>
          <w:rFonts w:ascii="Tahoma" w:eastAsia="Arial" w:hAnsi="Tahoma" w:cs="Tahoma"/>
          <w:sz w:val="24"/>
          <w:szCs w:val="24"/>
        </w:rPr>
        <w:t>ordenamiento</w:t>
      </w:r>
      <w:r w:rsidR="0002483E" w:rsidRPr="008933AC">
        <w:rPr>
          <w:rFonts w:ascii="Tahoma" w:eastAsia="Arial" w:hAnsi="Tahoma" w:cs="Tahoma"/>
          <w:sz w:val="24"/>
          <w:szCs w:val="24"/>
        </w:rPr>
        <w:t xml:space="preserve"> </w:t>
      </w:r>
      <w:r w:rsidRPr="008933AC">
        <w:rPr>
          <w:rFonts w:ascii="Tahoma" w:eastAsia="Arial" w:hAnsi="Tahoma" w:cs="Tahoma"/>
          <w:sz w:val="24"/>
          <w:szCs w:val="24"/>
        </w:rPr>
        <w:t>legal.</w:t>
      </w:r>
      <w:r w:rsidR="0002483E" w:rsidRPr="008933AC">
        <w:rPr>
          <w:rFonts w:ascii="Tahoma" w:eastAsia="Arial" w:hAnsi="Tahoma" w:cs="Tahoma"/>
          <w:sz w:val="24"/>
          <w:szCs w:val="24"/>
        </w:rPr>
        <w:t xml:space="preserve"> </w:t>
      </w:r>
      <w:r w:rsidRPr="008933AC">
        <w:rPr>
          <w:rFonts w:ascii="Tahoma" w:eastAsia="Arial" w:hAnsi="Tahoma" w:cs="Tahoma"/>
          <w:sz w:val="24"/>
          <w:szCs w:val="24"/>
        </w:rPr>
        <w:t>Por</w:t>
      </w:r>
      <w:r w:rsidR="0002483E" w:rsidRPr="008933AC">
        <w:rPr>
          <w:rFonts w:ascii="Tahoma" w:eastAsia="Arial" w:hAnsi="Tahoma" w:cs="Tahoma"/>
          <w:sz w:val="24"/>
          <w:szCs w:val="24"/>
        </w:rPr>
        <w:t xml:space="preserve"> </w:t>
      </w:r>
      <w:r w:rsidRPr="008933AC">
        <w:rPr>
          <w:rFonts w:ascii="Tahoma" w:eastAsia="Arial" w:hAnsi="Tahoma" w:cs="Tahoma"/>
          <w:sz w:val="24"/>
          <w:szCs w:val="24"/>
        </w:rPr>
        <w:t>lo anterior,</w:t>
      </w:r>
      <w:r w:rsidR="0002483E" w:rsidRPr="008933AC">
        <w:rPr>
          <w:rFonts w:ascii="Tahoma" w:eastAsia="Arial" w:hAnsi="Tahoma" w:cs="Tahoma"/>
          <w:sz w:val="24"/>
          <w:szCs w:val="24"/>
        </w:rPr>
        <w:t xml:space="preserve"> </w:t>
      </w:r>
      <w:r w:rsidRPr="008933AC">
        <w:rPr>
          <w:rFonts w:ascii="Tahoma" w:eastAsia="Arial" w:hAnsi="Tahoma" w:cs="Tahoma"/>
          <w:sz w:val="24"/>
          <w:szCs w:val="24"/>
        </w:rPr>
        <w:t>la denominación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o</w:t>
      </w:r>
      <w:r w:rsidR="0002483E" w:rsidRPr="008933AC">
        <w:rPr>
          <w:rFonts w:ascii="Tahoma" w:eastAsia="Arial" w:hAnsi="Tahoma" w:cs="Tahoma"/>
          <w:sz w:val="24"/>
          <w:szCs w:val="24"/>
        </w:rPr>
        <w:t xml:space="preserve"> </w:t>
      </w:r>
      <w:r w:rsidRPr="008933AC">
        <w:rPr>
          <w:rFonts w:ascii="Tahoma" w:eastAsia="Arial" w:hAnsi="Tahoma" w:cs="Tahoma"/>
          <w:sz w:val="24"/>
          <w:szCs w:val="24"/>
        </w:rPr>
        <w:t>razón</w:t>
      </w:r>
      <w:r w:rsidR="0002483E" w:rsidRPr="008933AC">
        <w:rPr>
          <w:rFonts w:ascii="Tahoma" w:eastAsia="Arial" w:hAnsi="Tahoma" w:cs="Tahoma"/>
          <w:sz w:val="24"/>
          <w:szCs w:val="24"/>
        </w:rPr>
        <w:t xml:space="preserve"> </w:t>
      </w:r>
      <w:r w:rsidRPr="008933AC">
        <w:rPr>
          <w:rFonts w:ascii="Tahoma" w:eastAsia="Arial" w:hAnsi="Tahoma" w:cs="Tahoma"/>
          <w:sz w:val="24"/>
          <w:szCs w:val="24"/>
        </w:rPr>
        <w:t>social, así</w:t>
      </w:r>
      <w:r w:rsidR="0002483E" w:rsidRPr="008933AC">
        <w:rPr>
          <w:rFonts w:ascii="Tahoma" w:eastAsia="Arial" w:hAnsi="Tahoma" w:cs="Tahoma"/>
          <w:sz w:val="24"/>
          <w:szCs w:val="24"/>
        </w:rPr>
        <w:t xml:space="preserve"> </w:t>
      </w:r>
      <w:r w:rsidRPr="008933AC">
        <w:rPr>
          <w:rFonts w:ascii="Tahoma" w:eastAsia="Arial" w:hAnsi="Tahoma" w:cs="Tahoma"/>
          <w:sz w:val="24"/>
          <w:szCs w:val="24"/>
        </w:rPr>
        <w:t>como el</w:t>
      </w:r>
      <w:r w:rsidR="0002483E" w:rsidRPr="008933AC">
        <w:rPr>
          <w:rFonts w:ascii="Tahoma" w:eastAsia="Arial" w:hAnsi="Tahoma" w:cs="Tahoma"/>
          <w:sz w:val="24"/>
          <w:szCs w:val="24"/>
        </w:rPr>
        <w:t xml:space="preserve"> </w:t>
      </w:r>
      <w:r w:rsidRPr="008933AC">
        <w:rPr>
          <w:rFonts w:ascii="Tahoma" w:eastAsia="Arial" w:hAnsi="Tahoma" w:cs="Tahoma"/>
          <w:sz w:val="24"/>
          <w:szCs w:val="24"/>
        </w:rPr>
        <w:t>RFC de personas morales,</w:t>
      </w:r>
      <w:r w:rsidR="0002483E" w:rsidRPr="008933AC">
        <w:rPr>
          <w:rFonts w:ascii="Tahoma" w:eastAsia="Arial" w:hAnsi="Tahoma" w:cs="Tahoma"/>
          <w:sz w:val="24"/>
          <w:szCs w:val="24"/>
        </w:rPr>
        <w:t xml:space="preserve"> </w:t>
      </w:r>
      <w:r w:rsidRPr="008933AC">
        <w:rPr>
          <w:rFonts w:ascii="Tahoma" w:eastAsia="Arial" w:hAnsi="Tahoma" w:cs="Tahoma"/>
          <w:sz w:val="24"/>
          <w:szCs w:val="24"/>
        </w:rPr>
        <w:t>no</w:t>
      </w:r>
      <w:r w:rsidR="0002483E" w:rsidRPr="008933AC">
        <w:rPr>
          <w:rFonts w:ascii="Tahoma" w:eastAsia="Arial" w:hAnsi="Tahoma" w:cs="Tahoma"/>
          <w:sz w:val="24"/>
          <w:szCs w:val="24"/>
        </w:rPr>
        <w:t xml:space="preserve"> </w:t>
      </w:r>
      <w:r w:rsidRPr="008933AC">
        <w:rPr>
          <w:rFonts w:ascii="Tahoma" w:eastAsia="Arial" w:hAnsi="Tahoma" w:cs="Tahoma"/>
          <w:sz w:val="24"/>
          <w:szCs w:val="24"/>
        </w:rPr>
        <w:t>constituye información</w:t>
      </w:r>
      <w:r w:rsidR="0002483E" w:rsidRPr="008933AC">
        <w:rPr>
          <w:rFonts w:ascii="Tahoma" w:eastAsia="Arial" w:hAnsi="Tahoma" w:cs="Tahoma"/>
          <w:sz w:val="24"/>
          <w:szCs w:val="24"/>
        </w:rPr>
        <w:t xml:space="preserve"> </w:t>
      </w:r>
      <w:r w:rsidRPr="008933AC">
        <w:rPr>
          <w:rFonts w:ascii="Tahoma" w:eastAsia="Arial" w:hAnsi="Tahoma" w:cs="Tahoma"/>
          <w:sz w:val="24"/>
          <w:szCs w:val="24"/>
        </w:rPr>
        <w:t>confidencial.</w:t>
      </w:r>
    </w:p>
    <w:p w:rsidR="00363357" w:rsidRPr="008933AC" w:rsidRDefault="00363357" w:rsidP="00A462CB">
      <w:pPr>
        <w:spacing w:after="0" w:line="276" w:lineRule="auto"/>
        <w:jc w:val="both"/>
        <w:rPr>
          <w:rFonts w:ascii="Tahoma" w:hAnsi="Tahoma" w:cs="Tahoma"/>
          <w:i/>
          <w:sz w:val="24"/>
          <w:szCs w:val="24"/>
        </w:rPr>
      </w:pPr>
    </w:p>
    <w:p w:rsidR="0044391A" w:rsidRPr="008933AC" w:rsidRDefault="0002483E" w:rsidP="00A462CB">
      <w:pPr>
        <w:spacing w:after="0" w:line="276" w:lineRule="auto"/>
        <w:jc w:val="both"/>
        <w:rPr>
          <w:rFonts w:ascii="Tahoma" w:hAnsi="Tahoma" w:cs="Tahoma"/>
          <w:sz w:val="24"/>
          <w:szCs w:val="24"/>
        </w:rPr>
      </w:pPr>
      <w:r w:rsidRPr="008933AC">
        <w:rPr>
          <w:rFonts w:ascii="Tahoma" w:hAnsi="Tahoma" w:cs="Tahoma"/>
          <w:sz w:val="24"/>
          <w:szCs w:val="24"/>
        </w:rPr>
        <w:t>De tal suerte que el RFC de personas jurídico-colectivas no actualiza el supuesto de clasificación previsto para proteger los datos personales, por lo que, no se debe eliminar la información que permita acceder al RFC de estas.</w:t>
      </w:r>
    </w:p>
    <w:p w:rsidR="0044391A" w:rsidRPr="008933AC" w:rsidRDefault="0044391A" w:rsidP="00A462CB">
      <w:pPr>
        <w:spacing w:after="0" w:line="276" w:lineRule="auto"/>
        <w:jc w:val="both"/>
        <w:rPr>
          <w:rFonts w:ascii="Tahoma" w:hAnsi="Tahoma" w:cs="Tahoma"/>
          <w:sz w:val="24"/>
          <w:szCs w:val="24"/>
        </w:rPr>
      </w:pPr>
    </w:p>
    <w:p w:rsidR="0095470A" w:rsidRPr="008933AC" w:rsidRDefault="007E3F77" w:rsidP="00A462CB">
      <w:pPr>
        <w:spacing w:after="0" w:line="276" w:lineRule="auto"/>
        <w:jc w:val="both"/>
        <w:rPr>
          <w:rFonts w:ascii="Tahoma" w:hAnsi="Tahoma" w:cs="Tahoma"/>
          <w:sz w:val="24"/>
          <w:szCs w:val="24"/>
        </w:rPr>
      </w:pPr>
      <w:r w:rsidRPr="008933AC">
        <w:rPr>
          <w:rFonts w:ascii="Tahoma" w:hAnsi="Tahoma" w:cs="Tahoma"/>
          <w:sz w:val="24"/>
          <w:szCs w:val="24"/>
        </w:rPr>
        <w:t>L</w:t>
      </w:r>
      <w:r w:rsidR="0002483E" w:rsidRPr="008933AC">
        <w:rPr>
          <w:rFonts w:ascii="Tahoma" w:hAnsi="Tahoma" w:cs="Tahoma"/>
          <w:sz w:val="24"/>
          <w:szCs w:val="24"/>
        </w:rPr>
        <w:t>as personas físicas</w:t>
      </w:r>
      <w:r w:rsidR="00B15570" w:rsidRPr="008933AC">
        <w:rPr>
          <w:rFonts w:ascii="Tahoma" w:hAnsi="Tahoma" w:cs="Tahoma"/>
          <w:sz w:val="24"/>
          <w:szCs w:val="24"/>
        </w:rPr>
        <w:t xml:space="preserve">, </w:t>
      </w:r>
      <w:r w:rsidR="0095470A" w:rsidRPr="008933AC">
        <w:rPr>
          <w:rFonts w:ascii="Tahoma" w:hAnsi="Tahoma" w:cs="Tahoma"/>
          <w:sz w:val="24"/>
          <w:szCs w:val="24"/>
        </w:rPr>
        <w:t>tramitan</w:t>
      </w:r>
      <w:r w:rsidR="00B15570" w:rsidRPr="008933AC">
        <w:rPr>
          <w:rFonts w:ascii="Tahoma" w:hAnsi="Tahoma" w:cs="Tahoma"/>
          <w:sz w:val="24"/>
          <w:szCs w:val="24"/>
        </w:rPr>
        <w:t xml:space="preserve"> </w:t>
      </w:r>
      <w:r w:rsidR="0095470A" w:rsidRPr="008933AC">
        <w:rPr>
          <w:rFonts w:ascii="Tahoma" w:hAnsi="Tahoma" w:cs="Tahoma"/>
          <w:sz w:val="24"/>
          <w:szCs w:val="24"/>
        </w:rPr>
        <w:t>su inscripción en el Registro Federal de Contribuyentes con el propósito de realizar mediante esa clave de identificación, operaciones o actividades de naturaleza fiscal; por lo que, esta clave</w:t>
      </w:r>
      <w:r w:rsidR="00B15570" w:rsidRPr="008933AC">
        <w:rPr>
          <w:rFonts w:ascii="Tahoma" w:hAnsi="Tahoma" w:cs="Tahoma"/>
          <w:sz w:val="24"/>
          <w:szCs w:val="24"/>
        </w:rPr>
        <w:t xml:space="preserve"> </w:t>
      </w:r>
      <w:r w:rsidR="0095470A" w:rsidRPr="008933AC">
        <w:rPr>
          <w:rFonts w:ascii="Tahoma" w:hAnsi="Tahoma" w:cs="Tahoma"/>
          <w:sz w:val="24"/>
          <w:szCs w:val="24"/>
        </w:rPr>
        <w:t>es necesario entregarla a cualquier persona física o jurídico colectiva con la que se pretenda tener una relación comercial o profesional, que implique un pago como contraprestación o remuneración.</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 xml:space="preserve">En este sentido, en el caso de que el proveedor de cualquier </w:t>
      </w:r>
      <w:r w:rsidR="00B15570" w:rsidRPr="008933AC">
        <w:rPr>
          <w:rFonts w:ascii="Tahoma" w:hAnsi="Tahoma" w:cs="Tahoma"/>
          <w:sz w:val="24"/>
          <w:szCs w:val="24"/>
        </w:rPr>
        <w:t>S</w:t>
      </w:r>
      <w:r w:rsidRPr="008933AC">
        <w:rPr>
          <w:rFonts w:ascii="Tahoma" w:hAnsi="Tahoma" w:cs="Tahoma"/>
          <w:sz w:val="24"/>
          <w:szCs w:val="24"/>
        </w:rPr>
        <w:t xml:space="preserve">ujeto </w:t>
      </w:r>
      <w:r w:rsidR="00B15570" w:rsidRPr="008933AC">
        <w:rPr>
          <w:rFonts w:ascii="Tahoma" w:hAnsi="Tahoma" w:cs="Tahoma"/>
          <w:sz w:val="24"/>
          <w:szCs w:val="24"/>
        </w:rPr>
        <w:t>O</w:t>
      </w:r>
      <w:r w:rsidRPr="008933AC">
        <w:rPr>
          <w:rFonts w:ascii="Tahoma" w:hAnsi="Tahoma" w:cs="Tahoma"/>
          <w:sz w:val="24"/>
          <w:szCs w:val="24"/>
        </w:rPr>
        <w:t xml:space="preserve">bligado por la Ley de Transparencia y Acceso a la Información Pública del Estado de México y Municipios, sea una persona física, esta debe cumplir con los requisitos establecidos </w:t>
      </w:r>
      <w:r w:rsidRPr="008933AC">
        <w:rPr>
          <w:rFonts w:ascii="Tahoma" w:hAnsi="Tahoma" w:cs="Tahoma"/>
          <w:sz w:val="24"/>
          <w:szCs w:val="24"/>
        </w:rPr>
        <w:lastRenderedPageBreak/>
        <w:t>en los artículos 29 y 32 del Reglamento de la Ley de Contratación Pública del Estado de México y Municipios; es decir, para que las personas puedan participar en actos de adquisición o de contratación de servicios que requieran las dependencias, organismos auxiliares y tribunales administrativos, deberán presentar, entre otras cosas, la cédula de identificación fiscal (Registro Federal de Contribuyentes); por lo que la entrega de dicho dato en las facturas permite verificar cumplimiento de esta disposición legal.</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Por lo tanto, en el presente caso, si bien</w:t>
      </w:r>
      <w:r w:rsidR="00273B3C" w:rsidRPr="008933AC">
        <w:rPr>
          <w:rFonts w:ascii="Tahoma" w:hAnsi="Tahoma" w:cs="Tahoma"/>
          <w:sz w:val="24"/>
          <w:szCs w:val="24"/>
        </w:rPr>
        <w:t xml:space="preserve"> </w:t>
      </w:r>
      <w:r w:rsidRPr="008933AC">
        <w:rPr>
          <w:rFonts w:ascii="Tahoma" w:hAnsi="Tahoma" w:cs="Tahoma"/>
          <w:sz w:val="24"/>
          <w:szCs w:val="24"/>
        </w:rPr>
        <w:t>el Registro Federal de Contribuyentes de personas físicas es un dato personal, también lo es, que corresponde a un requisito indispensable para ser proveedor y poder llevar a cabo actividades comerciales con los sujetos obligados de la Entidad, ya que sin este, no se pueden realizar dichas actividades, por lo que su entrega es un elemento adicional que respalda la legalidad de los procesos adquisitivos.</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En ese contexto, entregar el Registro Federal de Contribuyentes aún de personas físicas cuando son proveedores de instituciones públicas, propiciaría la rendición de cuentas, al permitir verificar que se cumplió con</w:t>
      </w:r>
      <w:r w:rsidR="00273B3C" w:rsidRPr="008933AC">
        <w:rPr>
          <w:rFonts w:ascii="Tahoma" w:hAnsi="Tahoma" w:cs="Tahoma"/>
          <w:sz w:val="24"/>
          <w:szCs w:val="24"/>
        </w:rPr>
        <w:t xml:space="preserve"> </w:t>
      </w:r>
      <w:r w:rsidRPr="008933AC">
        <w:rPr>
          <w:rFonts w:ascii="Tahoma" w:hAnsi="Tahoma" w:cs="Tahoma"/>
          <w:sz w:val="24"/>
          <w:szCs w:val="24"/>
        </w:rPr>
        <w:t>uno de los requisitos necesarios conforme a la normatividad aplicable en materia de contrataciones, lo cual, transparenta el correcto ejercicio de recursos públicos por parte de los sujetos obligados,</w:t>
      </w:r>
      <w:r w:rsidR="00273B3C" w:rsidRPr="008933AC">
        <w:rPr>
          <w:rFonts w:ascii="Tahoma" w:hAnsi="Tahoma" w:cs="Tahoma"/>
          <w:sz w:val="24"/>
          <w:szCs w:val="24"/>
        </w:rPr>
        <w:t xml:space="preserve"> </w:t>
      </w:r>
      <w:r w:rsidRPr="008933AC">
        <w:rPr>
          <w:rFonts w:ascii="Tahoma" w:hAnsi="Tahoma" w:cs="Tahoma"/>
          <w:sz w:val="24"/>
          <w:szCs w:val="24"/>
        </w:rPr>
        <w:t>lo que es acorde con el principio de máxima publicidad.</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w:t>
      </w:r>
      <w:r w:rsidR="00273B3C" w:rsidRPr="008933AC">
        <w:rPr>
          <w:rFonts w:ascii="Tahoma" w:hAnsi="Tahoma" w:cs="Tahoma"/>
          <w:sz w:val="24"/>
          <w:szCs w:val="24"/>
        </w:rPr>
        <w:t xml:space="preserve">; así, </w:t>
      </w:r>
      <w:r w:rsidRPr="008933AC">
        <w:rPr>
          <w:rFonts w:ascii="Tahoma" w:hAnsi="Tahoma" w:cs="Tahoma"/>
          <w:sz w:val="24"/>
          <w:szCs w:val="24"/>
        </w:rPr>
        <w:t>la información sobre la que se debe conceder publicidad sólo es aquella relacionada con el ejercicio de recursos públicos o de funciones y las facturas de pagos de sujetos obligados están vinculadas directamente con el ejercicio de recursos públicos.</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 xml:space="preserve">Conforme a lo anterior, </w:t>
      </w:r>
      <w:r w:rsidR="00D932AD" w:rsidRPr="008933AC">
        <w:rPr>
          <w:rFonts w:ascii="Tahoma" w:hAnsi="Tahoma" w:cs="Tahoma"/>
          <w:sz w:val="24"/>
          <w:szCs w:val="24"/>
        </w:rPr>
        <w:t>a continuación se desarrolla la</w:t>
      </w:r>
      <w:r w:rsidRPr="008933AC">
        <w:rPr>
          <w:rFonts w:ascii="Tahoma" w:hAnsi="Tahoma" w:cs="Tahoma"/>
          <w:sz w:val="24"/>
          <w:szCs w:val="24"/>
        </w:rPr>
        <w:t xml:space="preserve"> prueba de interés público, con base en los elementos de </w:t>
      </w:r>
      <w:r w:rsidRPr="008933AC">
        <w:rPr>
          <w:rFonts w:ascii="Tahoma" w:hAnsi="Tahoma" w:cs="Tahoma"/>
          <w:b/>
          <w:sz w:val="24"/>
          <w:szCs w:val="24"/>
        </w:rPr>
        <w:t xml:space="preserve">idoneidad, necesidad y proporcionalidad, </w:t>
      </w:r>
      <w:r w:rsidRPr="008933AC">
        <w:rPr>
          <w:rFonts w:ascii="Tahoma" w:hAnsi="Tahoma" w:cs="Tahoma"/>
          <w:sz w:val="24"/>
          <w:szCs w:val="24"/>
        </w:rPr>
        <w:t xml:space="preserve">de conformidad del artículo 184 de la Ley de Transparencia y Acceso a la Información Pública del Estado de México y Municipios, con el fin de ponderar la clasificación del </w:t>
      </w:r>
      <w:r w:rsidRPr="008933AC">
        <w:rPr>
          <w:rFonts w:ascii="Tahoma" w:hAnsi="Tahoma" w:cs="Tahoma"/>
          <w:sz w:val="24"/>
          <w:szCs w:val="24"/>
        </w:rPr>
        <w:lastRenderedPageBreak/>
        <w:t>Registro Federal de Contribuyentes, con el beneficio que provocaría a la sociedad el hacer público el mismo, a efecto que el ejercicio de los recursos públicos en materia de contrataciones y adquisiciones sea utilizado conforme a la normatividad aplicable.</w:t>
      </w:r>
    </w:p>
    <w:p w:rsidR="002E4A9A" w:rsidRPr="008933AC" w:rsidRDefault="002E4A9A" w:rsidP="00A462CB">
      <w:pPr>
        <w:spacing w:after="0" w:line="276" w:lineRule="auto"/>
        <w:jc w:val="both"/>
        <w:rPr>
          <w:rFonts w:ascii="Tahoma" w:hAnsi="Tahoma" w:cs="Tahoma"/>
          <w:sz w:val="24"/>
          <w:szCs w:val="24"/>
        </w:rPr>
      </w:pPr>
    </w:p>
    <w:p w:rsidR="0095470A" w:rsidRPr="008933AC" w:rsidRDefault="0095470A" w:rsidP="00A462CB">
      <w:pPr>
        <w:pStyle w:val="Prrafodelista"/>
        <w:numPr>
          <w:ilvl w:val="0"/>
          <w:numId w:val="3"/>
        </w:numPr>
        <w:spacing w:after="0" w:line="276" w:lineRule="auto"/>
        <w:jc w:val="both"/>
        <w:rPr>
          <w:rFonts w:ascii="Tahoma" w:hAnsi="Tahoma" w:cs="Tahoma"/>
          <w:b/>
          <w:sz w:val="24"/>
          <w:szCs w:val="24"/>
        </w:rPr>
      </w:pPr>
      <w:r w:rsidRPr="008933AC">
        <w:rPr>
          <w:rFonts w:ascii="Tahoma" w:hAnsi="Tahoma" w:cs="Tahoma"/>
          <w:b/>
          <w:sz w:val="24"/>
          <w:szCs w:val="24"/>
        </w:rPr>
        <w:t>Idoneidad:</w:t>
      </w:r>
    </w:p>
    <w:p w:rsidR="0095470A" w:rsidRPr="008933AC" w:rsidRDefault="0095470A" w:rsidP="00A462CB">
      <w:pPr>
        <w:spacing w:after="0" w:line="276" w:lineRule="auto"/>
        <w:jc w:val="both"/>
        <w:rPr>
          <w:rFonts w:ascii="Tahoma" w:hAnsi="Tahoma" w:cs="Tahoma"/>
          <w:b/>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Se considera que debe prevalecer el derecho de acceso a la información frente a la clasificación del Registro Federal de Contribuyentes de personas físicas</w:t>
      </w:r>
      <w:r w:rsidR="00A30C52" w:rsidRPr="008933AC">
        <w:rPr>
          <w:rFonts w:ascii="Tahoma" w:hAnsi="Tahoma" w:cs="Tahoma"/>
          <w:sz w:val="24"/>
          <w:szCs w:val="24"/>
        </w:rPr>
        <w:t xml:space="preserve"> </w:t>
      </w:r>
      <w:r w:rsidRPr="008933AC">
        <w:rPr>
          <w:rFonts w:ascii="Tahoma" w:hAnsi="Tahoma" w:cs="Tahoma"/>
          <w:sz w:val="24"/>
          <w:szCs w:val="24"/>
        </w:rPr>
        <w:t>como confidencial, ya que hacerlo público en las facturas que entregan quienes participan en contrataciones públicas, es de trascendencia social, en virtud de que su presentación es uno de los requisitos que marca el Reglamento de la Ley de Contratación Pública del Estado de México y Municipios.</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95470A" w:rsidRPr="008933AC" w:rsidRDefault="0095470A" w:rsidP="00A462CB">
      <w:pPr>
        <w:spacing w:after="0" w:line="276" w:lineRule="auto"/>
        <w:jc w:val="both"/>
        <w:rPr>
          <w:rFonts w:ascii="Tahoma" w:hAnsi="Tahoma" w:cs="Tahoma"/>
          <w:b/>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Bajo esa lógica, con la entrega del Registro Federal de Contribuyentes de personas físicas, en las facturas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rsidR="0095470A" w:rsidRPr="008933AC" w:rsidRDefault="0095470A" w:rsidP="00A462CB">
      <w:pPr>
        <w:spacing w:after="0" w:line="276" w:lineRule="auto"/>
        <w:jc w:val="both"/>
        <w:rPr>
          <w:rFonts w:ascii="Tahoma" w:hAnsi="Tahoma" w:cs="Tahoma"/>
          <w:b/>
          <w:sz w:val="24"/>
          <w:szCs w:val="24"/>
        </w:rPr>
      </w:pPr>
    </w:p>
    <w:p w:rsidR="0095470A" w:rsidRPr="008933AC" w:rsidRDefault="0095470A" w:rsidP="00A462CB">
      <w:pPr>
        <w:pStyle w:val="Prrafodelista"/>
        <w:numPr>
          <w:ilvl w:val="0"/>
          <w:numId w:val="3"/>
        </w:numPr>
        <w:spacing w:after="0" w:line="276" w:lineRule="auto"/>
        <w:jc w:val="both"/>
        <w:rPr>
          <w:rFonts w:ascii="Tahoma" w:hAnsi="Tahoma" w:cs="Tahoma"/>
          <w:b/>
          <w:sz w:val="24"/>
          <w:szCs w:val="24"/>
        </w:rPr>
      </w:pPr>
      <w:r w:rsidRPr="008933AC">
        <w:rPr>
          <w:rFonts w:ascii="Tahoma" w:hAnsi="Tahoma" w:cs="Tahoma"/>
          <w:b/>
          <w:sz w:val="24"/>
          <w:szCs w:val="24"/>
        </w:rPr>
        <w:t>Necesidad:</w:t>
      </w:r>
    </w:p>
    <w:p w:rsidR="0095470A" w:rsidRPr="008933AC" w:rsidRDefault="0095470A" w:rsidP="00A462CB">
      <w:pPr>
        <w:spacing w:after="0" w:line="276" w:lineRule="auto"/>
        <w:jc w:val="both"/>
        <w:rPr>
          <w:rFonts w:ascii="Tahoma" w:hAnsi="Tahoma" w:cs="Tahoma"/>
          <w:b/>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 xml:space="preserve">El Registro Federal de Contribuyentes es un dato que se asienta en las facturas y si bien, su uso tiene que ver con el cumplimiento de disposiciones y obligaciones en </w:t>
      </w:r>
      <w:r w:rsidRPr="008933AC">
        <w:rPr>
          <w:rFonts w:ascii="Tahoma" w:hAnsi="Tahoma" w:cs="Tahoma"/>
          <w:sz w:val="24"/>
          <w:szCs w:val="24"/>
        </w:rPr>
        <w:lastRenderedPageBreak/>
        <w:t>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rsidR="0095470A" w:rsidRPr="008933AC" w:rsidRDefault="0095470A" w:rsidP="00A462CB">
      <w:pPr>
        <w:spacing w:after="0" w:line="276" w:lineRule="auto"/>
        <w:jc w:val="both"/>
        <w:rPr>
          <w:rFonts w:ascii="Tahoma" w:hAnsi="Tahoma" w:cs="Tahoma"/>
          <w:b/>
          <w:sz w:val="24"/>
          <w:szCs w:val="24"/>
        </w:rPr>
      </w:pPr>
    </w:p>
    <w:p w:rsidR="0095470A" w:rsidRPr="008933AC" w:rsidRDefault="0095470A" w:rsidP="00A462CB">
      <w:pPr>
        <w:pStyle w:val="Prrafodelista"/>
        <w:numPr>
          <w:ilvl w:val="0"/>
          <w:numId w:val="3"/>
        </w:numPr>
        <w:spacing w:after="0" w:line="276" w:lineRule="auto"/>
        <w:jc w:val="both"/>
        <w:rPr>
          <w:rFonts w:ascii="Tahoma" w:hAnsi="Tahoma" w:cs="Tahoma"/>
          <w:b/>
          <w:sz w:val="24"/>
          <w:szCs w:val="24"/>
        </w:rPr>
      </w:pPr>
      <w:r w:rsidRPr="008933AC">
        <w:rPr>
          <w:rFonts w:ascii="Tahoma" w:hAnsi="Tahoma" w:cs="Tahoma"/>
          <w:b/>
          <w:sz w:val="24"/>
          <w:szCs w:val="24"/>
        </w:rPr>
        <w:t>Proporcionalidad:</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rsidR="0095470A" w:rsidRPr="008933AC" w:rsidRDefault="0095470A" w:rsidP="00A462CB">
      <w:pPr>
        <w:spacing w:after="0" w:line="276" w:lineRule="auto"/>
        <w:jc w:val="both"/>
        <w:rPr>
          <w:rFonts w:ascii="Tahoma" w:hAnsi="Tahoma" w:cs="Tahoma"/>
          <w:sz w:val="24"/>
          <w:szCs w:val="24"/>
        </w:rPr>
      </w:pPr>
    </w:p>
    <w:p w:rsidR="0095470A" w:rsidRPr="008933AC" w:rsidRDefault="0095470A" w:rsidP="00A462CB">
      <w:pPr>
        <w:spacing w:after="0" w:line="276" w:lineRule="auto"/>
        <w:jc w:val="both"/>
        <w:rPr>
          <w:rFonts w:ascii="Tahoma" w:hAnsi="Tahoma" w:cs="Tahoma"/>
          <w:sz w:val="24"/>
          <w:szCs w:val="24"/>
        </w:rPr>
      </w:pPr>
      <w:r w:rsidRPr="008933AC">
        <w:rPr>
          <w:rFonts w:ascii="Tahoma" w:hAnsi="Tahoma" w:cs="Tahoma"/>
          <w:sz w:val="24"/>
          <w:szCs w:val="24"/>
        </w:rPr>
        <w:t>Consecuentemente, el dato en comento constituye información que reviste un interés público; por tanto,</w:t>
      </w:r>
      <w:r w:rsidR="00A30C52" w:rsidRPr="008933AC">
        <w:rPr>
          <w:rFonts w:ascii="Tahoma" w:hAnsi="Tahoma" w:cs="Tahoma"/>
          <w:sz w:val="24"/>
          <w:szCs w:val="24"/>
        </w:rPr>
        <w:t xml:space="preserve"> </w:t>
      </w:r>
      <w:r w:rsidRPr="008933AC">
        <w:rPr>
          <w:rFonts w:ascii="Tahoma" w:hAnsi="Tahoma" w:cs="Tahoma"/>
          <w:sz w:val="24"/>
          <w:szCs w:val="24"/>
        </w:rPr>
        <w:t>no existe menoscabo en el derecho a la intimidad del titular del dato personal, cuando se entrega esta información al estar directamente vinculada la factura, con el ejercicio de recursos públicos; por lo que, no es posible clasificarla en términos del artículo 143, fracción I de la Ley de Transparencia y Acceso a la Información Pública del Estado de México y Municipios.</w:t>
      </w:r>
    </w:p>
    <w:p w:rsidR="0095470A" w:rsidRPr="008933AC" w:rsidRDefault="0095470A" w:rsidP="00A462CB">
      <w:pPr>
        <w:spacing w:after="0" w:line="276" w:lineRule="auto"/>
        <w:jc w:val="both"/>
        <w:rPr>
          <w:rFonts w:ascii="Tahoma" w:hAnsi="Tahoma" w:cs="Tahoma"/>
          <w:sz w:val="24"/>
          <w:szCs w:val="24"/>
        </w:rPr>
      </w:pPr>
    </w:p>
    <w:p w:rsidR="0095470A" w:rsidRDefault="0095470A" w:rsidP="00A462CB">
      <w:pPr>
        <w:spacing w:after="0" w:line="276" w:lineRule="auto"/>
        <w:jc w:val="both"/>
        <w:rPr>
          <w:rFonts w:ascii="Tahoma" w:hAnsi="Tahoma" w:cs="Tahoma"/>
          <w:sz w:val="24"/>
          <w:szCs w:val="24"/>
        </w:rPr>
      </w:pPr>
      <w:r w:rsidRPr="008933AC">
        <w:rPr>
          <w:rFonts w:ascii="Tahoma" w:hAnsi="Tahoma" w:cs="Tahoma"/>
          <w:sz w:val="24"/>
          <w:szCs w:val="24"/>
        </w:rPr>
        <w:t>En conclusión,</w:t>
      </w:r>
      <w:r w:rsidR="00802879" w:rsidRPr="008933AC">
        <w:rPr>
          <w:rFonts w:ascii="Tahoma" w:hAnsi="Tahoma" w:cs="Tahoma"/>
          <w:sz w:val="24"/>
          <w:szCs w:val="24"/>
        </w:rPr>
        <w:t xml:space="preserve"> </w:t>
      </w:r>
      <w:r w:rsidRPr="008933AC">
        <w:rPr>
          <w:rFonts w:ascii="Tahoma" w:hAnsi="Tahoma" w:cs="Tahoma"/>
          <w:sz w:val="24"/>
          <w:szCs w:val="24"/>
        </w:rPr>
        <w:t>toda vez, que el Registro Federal de Contribuyentes de proveedores, es un requisito indispensable, para poder participar en adquisiciones públicas y contracción de servicios, se debió realizar una ponderación derechos y, en su caso, entregar dicho dato, que ayuda a transparentar la correcta utilización de los recursos públicos.</w:t>
      </w:r>
    </w:p>
    <w:p w:rsidR="002E4A9A" w:rsidRPr="008933AC" w:rsidRDefault="002E4A9A" w:rsidP="00A462CB">
      <w:pPr>
        <w:spacing w:after="0" w:line="276" w:lineRule="auto"/>
        <w:jc w:val="both"/>
        <w:rPr>
          <w:rFonts w:ascii="Tahoma" w:hAnsi="Tahoma" w:cs="Tahoma"/>
          <w:sz w:val="24"/>
          <w:szCs w:val="24"/>
        </w:rPr>
      </w:pPr>
      <w:r w:rsidRPr="008933AC">
        <w:rPr>
          <w:rFonts w:ascii="Tahoma" w:hAnsi="Tahoma" w:cs="Tahoma"/>
          <w:sz w:val="24"/>
          <w:szCs w:val="24"/>
        </w:rPr>
        <w:lastRenderedPageBreak/>
        <w:t>Ahora bien, no se deja de lado que dentro de la Resolución también se clasifica como dato personal la información sobre las cuentas bancarias de personas jurídico-colectivas y</w:t>
      </w:r>
      <w:r w:rsidR="00E80E84">
        <w:rPr>
          <w:rFonts w:ascii="Tahoma" w:hAnsi="Tahoma" w:cs="Tahoma"/>
          <w:sz w:val="24"/>
          <w:szCs w:val="24"/>
        </w:rPr>
        <w:t>,</w:t>
      </w:r>
      <w:r w:rsidRPr="008933AC">
        <w:rPr>
          <w:rFonts w:ascii="Tahoma" w:hAnsi="Tahoma" w:cs="Tahoma"/>
          <w:sz w:val="24"/>
          <w:szCs w:val="24"/>
        </w:rPr>
        <w:t xml:space="preserve"> si bien es cierto que se comparte que estas no son de naturaleza pública, también lo es, que no actualizan en supuesto de confidencialidad establecido en el artículo 143, fracción I, de la Ley de Transparencia y Acceso a la Información Pública del Estado de México y Municipios, sino que, el objetivo de clasificarlas tiene que ver con evitar la posible comisión de un delito en contra del titular del número de cuenta.</w:t>
      </w:r>
    </w:p>
    <w:p w:rsidR="002E4A9A" w:rsidRPr="008933AC" w:rsidRDefault="002E4A9A" w:rsidP="00A462CB">
      <w:pPr>
        <w:spacing w:after="0" w:line="276" w:lineRule="auto"/>
        <w:jc w:val="both"/>
        <w:rPr>
          <w:rFonts w:ascii="Tahoma" w:hAnsi="Tahoma" w:cs="Tahoma"/>
          <w:sz w:val="24"/>
          <w:szCs w:val="24"/>
        </w:rPr>
      </w:pPr>
    </w:p>
    <w:p w:rsidR="008933AC" w:rsidRPr="008933AC" w:rsidRDefault="00A462CB" w:rsidP="00A462CB">
      <w:pPr>
        <w:spacing w:after="0" w:line="276" w:lineRule="auto"/>
        <w:jc w:val="both"/>
        <w:rPr>
          <w:rFonts w:ascii="Tahoma" w:hAnsi="Tahoma" w:cs="Tahoma"/>
          <w:sz w:val="24"/>
          <w:szCs w:val="24"/>
          <w:lang w:val="es-MX"/>
        </w:rPr>
      </w:pPr>
      <w:r>
        <w:rPr>
          <w:rFonts w:ascii="Tahoma" w:hAnsi="Tahoma" w:cs="Tahoma"/>
          <w:sz w:val="24"/>
          <w:szCs w:val="24"/>
          <w:lang w:val="es-MX"/>
        </w:rPr>
        <w:t>E</w:t>
      </w:r>
      <w:r w:rsidR="008933AC" w:rsidRPr="008933AC">
        <w:rPr>
          <w:rFonts w:ascii="Tahoma" w:hAnsi="Tahoma" w:cs="Tahoma"/>
          <w:sz w:val="24"/>
          <w:szCs w:val="24"/>
          <w:lang w:val="es-MX"/>
        </w:rPr>
        <w:t>l acceso a números de cuenta bancarios, reviste diversas aristas que deben ser tomadas en cuenta:</w:t>
      </w:r>
    </w:p>
    <w:p w:rsidR="008933AC" w:rsidRPr="008933AC" w:rsidRDefault="008933AC" w:rsidP="00A462CB">
      <w:pPr>
        <w:spacing w:after="0" w:line="276" w:lineRule="auto"/>
        <w:jc w:val="both"/>
        <w:rPr>
          <w:rFonts w:ascii="Tahoma" w:hAnsi="Tahoma" w:cs="Tahoma"/>
          <w:sz w:val="24"/>
          <w:szCs w:val="24"/>
          <w:lang w:val="es-MX"/>
        </w:rPr>
      </w:pPr>
    </w:p>
    <w:p w:rsidR="008933AC" w:rsidRPr="008933AC" w:rsidRDefault="008933AC" w:rsidP="00A462CB">
      <w:pPr>
        <w:numPr>
          <w:ilvl w:val="0"/>
          <w:numId w:val="15"/>
        </w:numPr>
        <w:spacing w:after="0" w:line="276" w:lineRule="auto"/>
        <w:jc w:val="both"/>
        <w:rPr>
          <w:rFonts w:ascii="Tahoma" w:hAnsi="Tahoma" w:cs="Tahoma"/>
          <w:sz w:val="24"/>
          <w:szCs w:val="24"/>
          <w:lang w:val="es-MX"/>
        </w:rPr>
      </w:pPr>
      <w:r w:rsidRPr="008933AC">
        <w:rPr>
          <w:rFonts w:ascii="Tahoma" w:hAnsi="Tahoma" w:cs="Tahoma"/>
          <w:sz w:val="24"/>
          <w:szCs w:val="24"/>
          <w:lang w:val="es-MX"/>
        </w:rPr>
        <w:t>Proporcionar el número de cuenta bancario de los sujetos obligados no lleva implícito transparentar el ejercicio de recursos públicos ni favorece la rendición de cuentas.</w:t>
      </w:r>
    </w:p>
    <w:p w:rsidR="008933AC" w:rsidRPr="008933AC" w:rsidRDefault="008933AC" w:rsidP="00A462CB">
      <w:pPr>
        <w:spacing w:after="0" w:line="276" w:lineRule="auto"/>
        <w:ind w:left="360"/>
        <w:jc w:val="both"/>
        <w:rPr>
          <w:rFonts w:ascii="Tahoma" w:hAnsi="Tahoma" w:cs="Tahoma"/>
          <w:sz w:val="24"/>
          <w:szCs w:val="24"/>
          <w:lang w:val="es-MX"/>
        </w:rPr>
      </w:pPr>
    </w:p>
    <w:p w:rsidR="008933AC" w:rsidRPr="008933AC" w:rsidRDefault="008933AC" w:rsidP="00A462CB">
      <w:pPr>
        <w:numPr>
          <w:ilvl w:val="0"/>
          <w:numId w:val="15"/>
        </w:numPr>
        <w:spacing w:after="0" w:line="276" w:lineRule="auto"/>
        <w:jc w:val="both"/>
        <w:rPr>
          <w:rFonts w:ascii="Tahoma" w:hAnsi="Tahoma" w:cs="Tahoma"/>
          <w:sz w:val="24"/>
          <w:szCs w:val="24"/>
          <w:lang w:val="es-MX"/>
        </w:rPr>
      </w:pPr>
      <w:r w:rsidRPr="008933AC">
        <w:rPr>
          <w:rFonts w:ascii="Tahoma" w:hAnsi="Tahoma" w:cs="Tahoma"/>
          <w:sz w:val="24"/>
          <w:szCs w:val="24"/>
          <w:lang w:val="es-MX"/>
        </w:rPr>
        <w:t>Se trata de una clave que otorgan los bancos a sus usuarios para identificar las transferencias que se realizan por parte del titular de una cuenta.</w:t>
      </w:r>
    </w:p>
    <w:p w:rsidR="008933AC" w:rsidRPr="008933AC" w:rsidRDefault="008933AC" w:rsidP="00A462CB">
      <w:pPr>
        <w:spacing w:after="0" w:line="276" w:lineRule="auto"/>
        <w:jc w:val="both"/>
        <w:rPr>
          <w:rFonts w:ascii="Tahoma" w:hAnsi="Tahoma" w:cs="Tahoma"/>
          <w:sz w:val="24"/>
          <w:szCs w:val="24"/>
          <w:lang w:val="es-MX"/>
        </w:rPr>
      </w:pPr>
    </w:p>
    <w:p w:rsidR="008933AC" w:rsidRPr="008933AC" w:rsidRDefault="008933AC" w:rsidP="00A462CB">
      <w:pPr>
        <w:numPr>
          <w:ilvl w:val="0"/>
          <w:numId w:val="15"/>
        </w:numPr>
        <w:spacing w:after="0" w:line="276" w:lineRule="auto"/>
        <w:jc w:val="both"/>
        <w:rPr>
          <w:rFonts w:ascii="Tahoma" w:hAnsi="Tahoma" w:cs="Tahoma"/>
          <w:sz w:val="24"/>
          <w:szCs w:val="24"/>
          <w:lang w:val="es-MX"/>
        </w:rPr>
      </w:pPr>
      <w:r w:rsidRPr="008933AC">
        <w:rPr>
          <w:rFonts w:ascii="Tahoma" w:hAnsi="Tahoma" w:cs="Tahoma"/>
          <w:sz w:val="24"/>
          <w:szCs w:val="24"/>
          <w:lang w:val="es-MX"/>
        </w:rPr>
        <w:t>Es un dato imprescindible para realizar transferencias o acceso en línea a las cuentas, por lo que únicamente es útil para su titular y las personas que realizan movimientos de depósito o retiro de esa cuenta en el carácter de deudores o acreedores.</w:t>
      </w:r>
    </w:p>
    <w:p w:rsidR="008933AC" w:rsidRPr="008933AC" w:rsidRDefault="008933AC" w:rsidP="00A462CB">
      <w:pPr>
        <w:spacing w:after="0" w:line="276" w:lineRule="auto"/>
        <w:jc w:val="both"/>
        <w:rPr>
          <w:rFonts w:ascii="Tahoma" w:hAnsi="Tahoma" w:cs="Tahoma"/>
          <w:sz w:val="24"/>
          <w:szCs w:val="24"/>
          <w:lang w:val="es-MX"/>
        </w:rPr>
      </w:pPr>
    </w:p>
    <w:p w:rsidR="008933AC" w:rsidRPr="008933AC" w:rsidRDefault="008933AC" w:rsidP="00A462CB">
      <w:pPr>
        <w:autoSpaceDE w:val="0"/>
        <w:autoSpaceDN w:val="0"/>
        <w:adjustRightInd w:val="0"/>
        <w:spacing w:after="0" w:line="276" w:lineRule="auto"/>
        <w:jc w:val="both"/>
        <w:rPr>
          <w:rFonts w:ascii="Tahoma" w:hAnsi="Tahoma" w:cs="Tahoma"/>
          <w:sz w:val="24"/>
          <w:szCs w:val="24"/>
          <w:lang w:val="es-ES_tradnl"/>
        </w:rPr>
      </w:pPr>
      <w:r w:rsidRPr="008933AC">
        <w:rPr>
          <w:rFonts w:ascii="Tahoma" w:hAnsi="Tahoma" w:cs="Tahoma"/>
          <w:sz w:val="24"/>
          <w:szCs w:val="24"/>
          <w:lang w:val="es-ES_tradnl"/>
        </w:rPr>
        <w:t xml:space="preserve">Ahora bien, debe tenerse presente que en el país se cometen un sin número de </w:t>
      </w:r>
      <w:r w:rsidRPr="00A462CB">
        <w:rPr>
          <w:rFonts w:ascii="Tahoma" w:hAnsi="Tahoma" w:cs="Tahoma"/>
          <w:sz w:val="24"/>
          <w:szCs w:val="24"/>
          <w:lang w:val="es-ES_tradnl"/>
        </w:rPr>
        <w:t>fraudes bancarios</w:t>
      </w:r>
      <w:r w:rsidRPr="008933AC">
        <w:rPr>
          <w:rFonts w:ascii="Tahoma" w:hAnsi="Tahoma" w:cs="Tahoma"/>
          <w:sz w:val="24"/>
          <w:szCs w:val="24"/>
          <w:lang w:val="es-ES_tradnl"/>
        </w:rPr>
        <w:t xml:space="preserve"> a través de la falsificación de cheques o del acceso que ahora permiten las tecnologías a cuentas bancarias con el uso de la banca por Internet, por lo que los bancos que prestan estos servicios, se han dado a la tarea de tomar medidas, para disminuir en lo posible la comisión de ilícitos. </w:t>
      </w:r>
    </w:p>
    <w:p w:rsidR="00A462CB" w:rsidRDefault="00A462CB" w:rsidP="00A462CB">
      <w:pPr>
        <w:autoSpaceDE w:val="0"/>
        <w:autoSpaceDN w:val="0"/>
        <w:adjustRightInd w:val="0"/>
        <w:spacing w:after="0" w:line="276" w:lineRule="auto"/>
        <w:jc w:val="both"/>
        <w:rPr>
          <w:rFonts w:ascii="Tahoma" w:hAnsi="Tahoma" w:cs="Tahoma"/>
          <w:sz w:val="24"/>
          <w:szCs w:val="24"/>
          <w:lang w:val="es-ES_tradnl"/>
        </w:rPr>
      </w:pPr>
    </w:p>
    <w:p w:rsidR="008933AC" w:rsidRPr="00A462CB" w:rsidRDefault="00A462CB" w:rsidP="00A462CB">
      <w:pPr>
        <w:autoSpaceDE w:val="0"/>
        <w:autoSpaceDN w:val="0"/>
        <w:adjustRightInd w:val="0"/>
        <w:spacing w:after="0" w:line="276" w:lineRule="auto"/>
        <w:jc w:val="both"/>
        <w:rPr>
          <w:rFonts w:ascii="Tahoma" w:hAnsi="Tahoma" w:cs="Tahoma"/>
          <w:sz w:val="24"/>
          <w:szCs w:val="24"/>
          <w:u w:val="single"/>
          <w:lang w:val="es-ES_tradnl"/>
        </w:rPr>
      </w:pPr>
      <w:r>
        <w:rPr>
          <w:rFonts w:ascii="Tahoma" w:hAnsi="Tahoma" w:cs="Tahoma"/>
          <w:sz w:val="24"/>
          <w:szCs w:val="24"/>
          <w:lang w:val="es-ES_tradnl"/>
        </w:rPr>
        <w:t xml:space="preserve">Así, </w:t>
      </w:r>
      <w:r w:rsidR="008933AC" w:rsidRPr="008933AC">
        <w:rPr>
          <w:rFonts w:ascii="Tahoma" w:hAnsi="Tahoma" w:cs="Tahoma"/>
          <w:sz w:val="24"/>
          <w:szCs w:val="24"/>
          <w:lang w:val="es-ES_tradnl"/>
        </w:rPr>
        <w:t xml:space="preserve">la responsabilidad de </w:t>
      </w:r>
      <w:r w:rsidR="008933AC" w:rsidRPr="008933AC">
        <w:rPr>
          <w:rFonts w:ascii="Tahoma" w:hAnsi="Tahoma" w:cs="Tahoma"/>
          <w:sz w:val="24"/>
          <w:szCs w:val="24"/>
          <w:u w:val="single"/>
          <w:lang w:val="es-ES_tradnl"/>
        </w:rPr>
        <w:t>disminuir el riesgo en las operaciones</w:t>
      </w:r>
      <w:r w:rsidR="008933AC" w:rsidRPr="008933AC">
        <w:rPr>
          <w:rFonts w:ascii="Tahoma" w:hAnsi="Tahoma" w:cs="Tahoma"/>
          <w:sz w:val="24"/>
          <w:szCs w:val="24"/>
          <w:lang w:val="es-ES_tradnl"/>
        </w:rPr>
        <w:t xml:space="preserve"> bancarias que llevan a cabo los usuarios, ha sido una tarea asumida por las instituciones de crédito, por las autoridades responsables de la materia e incluso por los usuarios de estos servicios, pues en la medida en que se hace efectiva la protección </w:t>
      </w:r>
      <w:r w:rsidR="008933AC" w:rsidRPr="00A462CB">
        <w:rPr>
          <w:rFonts w:ascii="Tahoma" w:hAnsi="Tahoma" w:cs="Tahoma"/>
          <w:bCs/>
          <w:sz w:val="24"/>
          <w:szCs w:val="24"/>
          <w:u w:val="single"/>
          <w:lang w:val="es-ES_tradnl"/>
        </w:rPr>
        <w:t>se previene la comisión del delito de fraude.</w:t>
      </w:r>
      <w:r w:rsidR="008933AC" w:rsidRPr="00A462CB">
        <w:rPr>
          <w:rFonts w:ascii="Tahoma" w:hAnsi="Tahoma" w:cs="Tahoma"/>
          <w:sz w:val="24"/>
          <w:szCs w:val="24"/>
          <w:u w:val="single"/>
          <w:lang w:val="es-ES_tradnl"/>
        </w:rPr>
        <w:t xml:space="preserve"> </w:t>
      </w:r>
    </w:p>
    <w:p w:rsidR="008933AC" w:rsidRPr="008933AC" w:rsidRDefault="008933AC" w:rsidP="00A462CB">
      <w:pPr>
        <w:autoSpaceDE w:val="0"/>
        <w:autoSpaceDN w:val="0"/>
        <w:adjustRightInd w:val="0"/>
        <w:spacing w:after="0" w:line="276" w:lineRule="auto"/>
        <w:jc w:val="both"/>
        <w:rPr>
          <w:rFonts w:ascii="Tahoma" w:eastAsia="SimSun" w:hAnsi="Tahoma" w:cs="Tahoma"/>
          <w:sz w:val="24"/>
          <w:szCs w:val="24"/>
          <w:lang w:eastAsia="zh-CN"/>
        </w:rPr>
      </w:pPr>
      <w:r w:rsidRPr="008933AC">
        <w:rPr>
          <w:rFonts w:ascii="Tahoma" w:eastAsia="SimSun" w:hAnsi="Tahoma" w:cs="Tahoma"/>
          <w:sz w:val="24"/>
          <w:szCs w:val="24"/>
          <w:lang w:eastAsia="zh-CN"/>
        </w:rPr>
        <w:lastRenderedPageBreak/>
        <w:t>En tal virtud, es de destacar lo dispuesto en el Código Penal del Estado de México:</w:t>
      </w:r>
    </w:p>
    <w:p w:rsidR="008933AC" w:rsidRPr="008933AC" w:rsidRDefault="008933AC" w:rsidP="00A462CB">
      <w:pPr>
        <w:autoSpaceDE w:val="0"/>
        <w:autoSpaceDN w:val="0"/>
        <w:adjustRightInd w:val="0"/>
        <w:spacing w:after="0" w:line="276" w:lineRule="auto"/>
        <w:jc w:val="both"/>
        <w:rPr>
          <w:rFonts w:ascii="Tahoma" w:eastAsia="SimSun" w:hAnsi="Tahoma" w:cs="Tahoma"/>
          <w:sz w:val="24"/>
          <w:szCs w:val="24"/>
          <w:lang w:eastAsia="zh-CN"/>
        </w:rPr>
      </w:pPr>
    </w:p>
    <w:p w:rsidR="008933AC" w:rsidRPr="008629DC" w:rsidRDefault="008933AC" w:rsidP="00A462CB">
      <w:pPr>
        <w:autoSpaceDE w:val="0"/>
        <w:autoSpaceDN w:val="0"/>
        <w:adjustRightInd w:val="0"/>
        <w:spacing w:after="0" w:line="276" w:lineRule="auto"/>
        <w:ind w:left="567" w:right="567"/>
        <w:jc w:val="center"/>
        <w:rPr>
          <w:rFonts w:ascii="Tahoma" w:hAnsi="Tahoma" w:cs="Tahoma"/>
          <w:b/>
          <w:bCs/>
          <w:sz w:val="20"/>
          <w:szCs w:val="20"/>
        </w:rPr>
      </w:pPr>
      <w:r w:rsidRPr="008629DC">
        <w:rPr>
          <w:rFonts w:ascii="Tahoma" w:hAnsi="Tahoma" w:cs="Tahoma"/>
          <w:b/>
          <w:bCs/>
          <w:sz w:val="20"/>
          <w:szCs w:val="20"/>
        </w:rPr>
        <w:t>CAPITULO III</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r w:rsidRPr="008629DC">
        <w:rPr>
          <w:rFonts w:ascii="Tahoma" w:hAnsi="Tahoma" w:cs="Tahoma"/>
          <w:sz w:val="20"/>
          <w:szCs w:val="20"/>
        </w:rPr>
        <w:t>USO DE OBJETO O DOCUMENTO FALSO O ALTERADO</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p>
    <w:p w:rsidR="008933AC" w:rsidRPr="008629DC" w:rsidRDefault="008933AC"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b/>
          <w:bCs/>
          <w:sz w:val="20"/>
          <w:szCs w:val="20"/>
        </w:rPr>
        <w:t xml:space="preserve">Artículo 173.- </w:t>
      </w:r>
      <w:r w:rsidRPr="008629DC">
        <w:rPr>
          <w:rFonts w:ascii="Tahoma" w:hAnsi="Tahoma" w:cs="Tahoma"/>
          <w:sz w:val="20"/>
          <w:szCs w:val="20"/>
        </w:rPr>
        <w:t xml:space="preserve">Al que dolosamente haga uso de un objeto o </w:t>
      </w:r>
      <w:r w:rsidRPr="008629DC">
        <w:rPr>
          <w:rFonts w:ascii="Tahoma" w:hAnsi="Tahoma" w:cs="Tahoma"/>
          <w:b/>
          <w:sz w:val="20"/>
          <w:szCs w:val="20"/>
        </w:rPr>
        <w:t>documento falso</w:t>
      </w:r>
      <w:r w:rsidRPr="008629DC">
        <w:rPr>
          <w:rFonts w:ascii="Tahoma" w:hAnsi="Tahoma" w:cs="Tahoma"/>
          <w:sz w:val="20"/>
          <w:szCs w:val="20"/>
        </w:rPr>
        <w:t xml:space="preserve"> o alterado, </w:t>
      </w:r>
      <w:r w:rsidRPr="008629DC">
        <w:rPr>
          <w:rFonts w:ascii="Tahoma" w:hAnsi="Tahoma" w:cs="Tahoma"/>
          <w:b/>
          <w:sz w:val="20"/>
          <w:szCs w:val="20"/>
        </w:rPr>
        <w:t>pretendiendo que produzca efectos legales</w:t>
      </w:r>
      <w:r w:rsidRPr="008629DC">
        <w:rPr>
          <w:rFonts w:ascii="Tahoma" w:hAnsi="Tahoma" w:cs="Tahoma"/>
          <w:sz w:val="20"/>
          <w:szCs w:val="20"/>
        </w:rPr>
        <w:t xml:space="preserve">, </w:t>
      </w:r>
      <w:r w:rsidR="00A462CB" w:rsidRPr="008629DC">
        <w:rPr>
          <w:rFonts w:ascii="Tahoma" w:hAnsi="Tahoma" w:cs="Tahoma"/>
          <w:sz w:val="20"/>
          <w:szCs w:val="20"/>
        </w:rPr>
        <w:t>se le impondrá prisión de dos a siete años y de cien a quinientos días multa. Se impondrá la misma</w:t>
      </w:r>
      <w:r w:rsidRPr="008629DC">
        <w:rPr>
          <w:rFonts w:ascii="Tahoma" w:hAnsi="Tahoma" w:cs="Tahoma"/>
          <w:sz w:val="20"/>
          <w:szCs w:val="20"/>
        </w:rPr>
        <w:t>.</w:t>
      </w:r>
    </w:p>
    <w:p w:rsidR="008933AC"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w:t>
      </w: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w:t>
      </w: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w:t>
      </w: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w:t>
      </w:r>
    </w:p>
    <w:p w:rsidR="008933AC" w:rsidRPr="008629DC" w:rsidRDefault="008933AC" w:rsidP="00A462CB">
      <w:pPr>
        <w:autoSpaceDE w:val="0"/>
        <w:autoSpaceDN w:val="0"/>
        <w:adjustRightInd w:val="0"/>
        <w:spacing w:after="0" w:line="276" w:lineRule="auto"/>
        <w:ind w:left="567" w:right="567"/>
        <w:jc w:val="both"/>
        <w:rPr>
          <w:rFonts w:ascii="Tahoma" w:hAnsi="Tahoma" w:cs="Tahoma"/>
          <w:sz w:val="20"/>
          <w:szCs w:val="20"/>
        </w:rPr>
      </w:pPr>
    </w:p>
    <w:p w:rsidR="008933AC" w:rsidRPr="008629DC" w:rsidRDefault="008933AC" w:rsidP="00A462CB">
      <w:pPr>
        <w:autoSpaceDE w:val="0"/>
        <w:autoSpaceDN w:val="0"/>
        <w:adjustRightInd w:val="0"/>
        <w:spacing w:after="0" w:line="276" w:lineRule="auto"/>
        <w:ind w:left="567" w:right="567"/>
        <w:jc w:val="center"/>
        <w:rPr>
          <w:rFonts w:ascii="Tahoma" w:hAnsi="Tahoma" w:cs="Tahoma"/>
          <w:b/>
          <w:bCs/>
          <w:sz w:val="20"/>
          <w:szCs w:val="20"/>
        </w:rPr>
      </w:pPr>
      <w:r w:rsidRPr="008629DC">
        <w:rPr>
          <w:rFonts w:ascii="Tahoma" w:hAnsi="Tahoma" w:cs="Tahoma"/>
          <w:b/>
          <w:bCs/>
          <w:sz w:val="20"/>
          <w:szCs w:val="20"/>
        </w:rPr>
        <w:t>CAPITULO IV</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r w:rsidRPr="008629DC">
        <w:rPr>
          <w:rFonts w:ascii="Tahoma" w:hAnsi="Tahoma" w:cs="Tahoma"/>
          <w:sz w:val="20"/>
          <w:szCs w:val="20"/>
        </w:rPr>
        <w:t>FALSIFICACION Y UTILIZACION INDEBIDA DE TITULOS AL</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r w:rsidRPr="008629DC">
        <w:rPr>
          <w:rFonts w:ascii="Tahoma" w:hAnsi="Tahoma" w:cs="Tahoma"/>
          <w:sz w:val="20"/>
          <w:szCs w:val="20"/>
        </w:rPr>
        <w:t>PORTADOR, DOCUMENTOS DE CREDITO PUBLICO Y</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r w:rsidRPr="008629DC">
        <w:rPr>
          <w:rFonts w:ascii="Tahoma" w:hAnsi="Tahoma" w:cs="Tahoma"/>
          <w:sz w:val="20"/>
          <w:szCs w:val="20"/>
        </w:rPr>
        <w:t>DOCUMENTOS RELATIVOS AL CREDITO</w:t>
      </w:r>
    </w:p>
    <w:p w:rsidR="008933AC" w:rsidRPr="008629DC" w:rsidRDefault="008933AC" w:rsidP="00A462CB">
      <w:pPr>
        <w:spacing w:after="0" w:line="276" w:lineRule="auto"/>
        <w:ind w:left="567" w:right="567"/>
        <w:jc w:val="both"/>
        <w:rPr>
          <w:rFonts w:ascii="Tahoma" w:hAnsi="Tahoma" w:cs="Tahoma"/>
          <w:bCs/>
          <w:sz w:val="20"/>
          <w:szCs w:val="20"/>
          <w:lang w:val="es-ES_tradnl" w:eastAsia="zh-CN"/>
        </w:rPr>
      </w:pPr>
    </w:p>
    <w:p w:rsidR="008933AC" w:rsidRPr="008629DC" w:rsidRDefault="008933AC"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b/>
          <w:bCs/>
          <w:sz w:val="20"/>
          <w:szCs w:val="20"/>
        </w:rPr>
        <w:t xml:space="preserve">Artículo 174.- </w:t>
      </w:r>
      <w:r w:rsidRPr="008629DC">
        <w:rPr>
          <w:rFonts w:ascii="Tahoma" w:hAnsi="Tahoma" w:cs="Tahoma"/>
          <w:sz w:val="20"/>
          <w:szCs w:val="20"/>
        </w:rPr>
        <w:t>Se impondrán de cuatro a diez años de prisión y de ciento cincuenta a quinientos días multa al que:</w:t>
      </w:r>
    </w:p>
    <w:p w:rsidR="008933AC" w:rsidRPr="008629DC" w:rsidRDefault="008933AC" w:rsidP="00A462CB">
      <w:pPr>
        <w:autoSpaceDE w:val="0"/>
        <w:autoSpaceDN w:val="0"/>
        <w:adjustRightInd w:val="0"/>
        <w:spacing w:after="0" w:line="276" w:lineRule="auto"/>
        <w:ind w:left="567" w:right="567"/>
        <w:jc w:val="both"/>
        <w:rPr>
          <w:rFonts w:ascii="Tahoma" w:hAnsi="Tahoma" w:cs="Tahoma"/>
          <w:sz w:val="20"/>
          <w:szCs w:val="20"/>
        </w:rPr>
      </w:pP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 xml:space="preserve">I. Produzca, imprima, enajene aún gratuitamente, distribuya, altere o falsifique tarjetas, títulos o documentos para el pago de bienes y servicios o para disposición de efectivo, sin consentimiento de quien esté facultado para ello; </w:t>
      </w: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II. Adquiera, utilice, posea o detente indebidamente, tarjetas, títulos o documentos para el pago de bienes y servicios, a sabiendas de que son alterados o falsificados;</w:t>
      </w:r>
    </w:p>
    <w:p w:rsidR="008933AC" w:rsidRPr="00550AA5" w:rsidRDefault="008933AC" w:rsidP="00A462CB">
      <w:pPr>
        <w:autoSpaceDE w:val="0"/>
        <w:autoSpaceDN w:val="0"/>
        <w:adjustRightInd w:val="0"/>
        <w:spacing w:after="0" w:line="276" w:lineRule="auto"/>
        <w:ind w:left="567" w:right="567"/>
        <w:jc w:val="both"/>
        <w:rPr>
          <w:rFonts w:ascii="Tahoma" w:hAnsi="Tahoma" w:cs="Tahoma"/>
          <w:sz w:val="20"/>
          <w:szCs w:val="20"/>
        </w:rPr>
      </w:pPr>
      <w:r w:rsidRPr="00550AA5">
        <w:rPr>
          <w:rFonts w:ascii="Tahoma" w:hAnsi="Tahoma" w:cs="Tahoma"/>
          <w:bCs/>
          <w:sz w:val="20"/>
          <w:szCs w:val="20"/>
        </w:rPr>
        <w:t xml:space="preserve">III. </w:t>
      </w:r>
      <w:r w:rsidR="00A462CB" w:rsidRPr="00550AA5">
        <w:rPr>
          <w:rFonts w:ascii="Tahoma" w:hAnsi="Tahoma" w:cs="Tahoma"/>
          <w:sz w:val="20"/>
          <w:szCs w:val="20"/>
        </w:rPr>
        <w:t xml:space="preserve"> al VI. …</w:t>
      </w:r>
    </w:p>
    <w:p w:rsidR="00A462CB" w:rsidRPr="00550AA5" w:rsidRDefault="00A462CB" w:rsidP="00A462CB">
      <w:pPr>
        <w:autoSpaceDE w:val="0"/>
        <w:autoSpaceDN w:val="0"/>
        <w:adjustRightInd w:val="0"/>
        <w:spacing w:after="0" w:line="276" w:lineRule="auto"/>
        <w:ind w:left="567" w:right="567"/>
        <w:jc w:val="both"/>
        <w:rPr>
          <w:rFonts w:ascii="Tahoma" w:hAnsi="Tahoma" w:cs="Tahoma"/>
          <w:sz w:val="20"/>
          <w:szCs w:val="20"/>
        </w:rPr>
      </w:pPr>
      <w:r w:rsidRPr="00550AA5">
        <w:rPr>
          <w:rFonts w:ascii="Tahoma" w:hAnsi="Tahoma" w:cs="Tahoma"/>
          <w:bCs/>
          <w:sz w:val="20"/>
          <w:szCs w:val="20"/>
        </w:rPr>
        <w:t>…</w:t>
      </w: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w:t>
      </w:r>
    </w:p>
    <w:p w:rsidR="00A462CB" w:rsidRPr="008629DC" w:rsidRDefault="00A462CB"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sz w:val="20"/>
          <w:szCs w:val="20"/>
        </w:rPr>
        <w:t>…</w:t>
      </w:r>
    </w:p>
    <w:p w:rsidR="008933AC" w:rsidRPr="008629DC" w:rsidRDefault="008933AC" w:rsidP="00A462CB">
      <w:pPr>
        <w:spacing w:after="0" w:line="276" w:lineRule="auto"/>
        <w:ind w:left="567" w:right="567"/>
        <w:jc w:val="both"/>
        <w:rPr>
          <w:rFonts w:ascii="Tahoma" w:hAnsi="Tahoma" w:cs="Tahoma"/>
          <w:bCs/>
          <w:sz w:val="20"/>
          <w:szCs w:val="20"/>
          <w:lang w:eastAsia="zh-CN"/>
        </w:rPr>
      </w:pPr>
    </w:p>
    <w:p w:rsidR="008933AC" w:rsidRPr="008629DC" w:rsidRDefault="008933AC" w:rsidP="00A462CB">
      <w:pPr>
        <w:autoSpaceDE w:val="0"/>
        <w:autoSpaceDN w:val="0"/>
        <w:adjustRightInd w:val="0"/>
        <w:spacing w:after="0" w:line="276" w:lineRule="auto"/>
        <w:ind w:left="567" w:right="567"/>
        <w:jc w:val="center"/>
        <w:rPr>
          <w:rFonts w:ascii="Tahoma" w:hAnsi="Tahoma" w:cs="Tahoma"/>
          <w:b/>
          <w:bCs/>
          <w:sz w:val="20"/>
          <w:szCs w:val="20"/>
        </w:rPr>
      </w:pPr>
      <w:r w:rsidRPr="008629DC">
        <w:rPr>
          <w:rFonts w:ascii="Tahoma" w:hAnsi="Tahoma" w:cs="Tahoma"/>
          <w:b/>
          <w:bCs/>
          <w:sz w:val="20"/>
          <w:szCs w:val="20"/>
        </w:rPr>
        <w:t>CAPITULO IV</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r w:rsidRPr="008629DC">
        <w:rPr>
          <w:rFonts w:ascii="Tahoma" w:hAnsi="Tahoma" w:cs="Tahoma"/>
          <w:sz w:val="20"/>
          <w:szCs w:val="20"/>
        </w:rPr>
        <w:t>FRAUDE</w:t>
      </w:r>
    </w:p>
    <w:p w:rsidR="008933AC" w:rsidRPr="008629DC" w:rsidRDefault="008933AC" w:rsidP="00A462CB">
      <w:pPr>
        <w:autoSpaceDE w:val="0"/>
        <w:autoSpaceDN w:val="0"/>
        <w:adjustRightInd w:val="0"/>
        <w:spacing w:after="0" w:line="276" w:lineRule="auto"/>
        <w:ind w:left="567" w:right="567"/>
        <w:jc w:val="center"/>
        <w:rPr>
          <w:rFonts w:ascii="Tahoma" w:hAnsi="Tahoma" w:cs="Tahoma"/>
          <w:sz w:val="20"/>
          <w:szCs w:val="20"/>
        </w:rPr>
      </w:pPr>
    </w:p>
    <w:p w:rsidR="008933AC" w:rsidRPr="008629DC" w:rsidRDefault="008933AC" w:rsidP="00A462CB">
      <w:pPr>
        <w:autoSpaceDE w:val="0"/>
        <w:autoSpaceDN w:val="0"/>
        <w:adjustRightInd w:val="0"/>
        <w:spacing w:after="0" w:line="276" w:lineRule="auto"/>
        <w:ind w:left="567" w:right="567"/>
        <w:jc w:val="both"/>
        <w:rPr>
          <w:rFonts w:ascii="Tahoma" w:hAnsi="Tahoma" w:cs="Tahoma"/>
          <w:sz w:val="20"/>
          <w:szCs w:val="20"/>
        </w:rPr>
      </w:pPr>
      <w:r w:rsidRPr="008629DC">
        <w:rPr>
          <w:rFonts w:ascii="Tahoma" w:hAnsi="Tahoma" w:cs="Tahoma"/>
          <w:b/>
          <w:bCs/>
          <w:sz w:val="20"/>
          <w:szCs w:val="20"/>
        </w:rPr>
        <w:t xml:space="preserve">Artículo 305.- </w:t>
      </w:r>
      <w:r w:rsidRPr="008629DC">
        <w:rPr>
          <w:rFonts w:ascii="Tahoma" w:hAnsi="Tahoma" w:cs="Tahoma"/>
          <w:sz w:val="20"/>
          <w:szCs w:val="20"/>
        </w:rPr>
        <w:t>Comete el delito de fraude el que engañando a otro o aprovechándose del error en que éste se halla, se haga ilícitamente de una cosa o alcance un lucro indebido para si o para otro.</w:t>
      </w:r>
    </w:p>
    <w:p w:rsidR="008933AC" w:rsidRPr="008933AC" w:rsidRDefault="008933AC" w:rsidP="00A462CB">
      <w:pPr>
        <w:spacing w:after="0" w:line="276" w:lineRule="auto"/>
        <w:ind w:right="584"/>
        <w:jc w:val="both"/>
        <w:rPr>
          <w:rFonts w:ascii="Tahoma" w:hAnsi="Tahoma" w:cs="Tahoma"/>
          <w:bCs/>
          <w:sz w:val="24"/>
          <w:szCs w:val="24"/>
          <w:lang w:val="es-ES_tradnl" w:eastAsia="zh-CN"/>
        </w:rPr>
      </w:pPr>
    </w:p>
    <w:p w:rsidR="008933AC" w:rsidRPr="008933AC"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bCs/>
          <w:sz w:val="24"/>
          <w:szCs w:val="24"/>
          <w:lang w:val="es-ES_tradnl" w:eastAsia="zh-CN"/>
        </w:rPr>
        <w:t xml:space="preserve">Bajo este orden de ideas, se advierte que existe el riesgo latente de que personas con experiencia en el manejo de las computadoras puedan acceder a las cuentas </w:t>
      </w:r>
      <w:r w:rsidRPr="008933AC">
        <w:rPr>
          <w:rFonts w:ascii="Tahoma" w:hAnsi="Tahoma" w:cs="Tahoma"/>
          <w:bCs/>
          <w:sz w:val="24"/>
          <w:szCs w:val="24"/>
          <w:lang w:val="es-ES_tradnl" w:eastAsia="zh-CN"/>
        </w:rPr>
        <w:lastRenderedPageBreak/>
        <w:t>bancarias de terceros, con el simple hecho de poseer ciertos datos como el nombre del titular de la cuenta, el nombre de la institución bancaria, más el número de cuenta en donde se tengan depósitos.</w:t>
      </w:r>
    </w:p>
    <w:p w:rsidR="008933AC" w:rsidRPr="008933AC" w:rsidRDefault="008933AC" w:rsidP="00A462CB">
      <w:pPr>
        <w:spacing w:after="0" w:line="276" w:lineRule="auto"/>
        <w:ind w:right="584"/>
        <w:jc w:val="both"/>
        <w:rPr>
          <w:rFonts w:ascii="Tahoma" w:hAnsi="Tahoma" w:cs="Tahoma"/>
          <w:bCs/>
          <w:sz w:val="24"/>
          <w:szCs w:val="24"/>
          <w:lang w:val="es-ES_tradnl" w:eastAsia="zh-CN"/>
        </w:rPr>
      </w:pPr>
    </w:p>
    <w:p w:rsidR="008933AC" w:rsidRPr="008933AC"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bCs/>
          <w:sz w:val="24"/>
          <w:szCs w:val="24"/>
          <w:lang w:val="es-ES_tradnl" w:eastAsia="zh-CN"/>
        </w:rPr>
        <w:t>En efecto, entre más datos de una cuenta bancaria se proporcionen, aumente el riesgo de que se intente un fraude en contra de los sujetos obligados o que se lleve a cabo la falsificación de títulos de crédito.</w:t>
      </w:r>
    </w:p>
    <w:p w:rsidR="008933AC" w:rsidRPr="008933AC" w:rsidRDefault="008933AC" w:rsidP="00A462CB">
      <w:pPr>
        <w:spacing w:after="0" w:line="276" w:lineRule="auto"/>
        <w:ind w:right="44"/>
        <w:jc w:val="both"/>
        <w:rPr>
          <w:rFonts w:ascii="Tahoma" w:hAnsi="Tahoma" w:cs="Tahoma"/>
          <w:bCs/>
          <w:sz w:val="24"/>
          <w:szCs w:val="24"/>
          <w:lang w:val="es-ES_tradnl" w:eastAsia="zh-CN"/>
        </w:rPr>
      </w:pPr>
    </w:p>
    <w:p w:rsidR="008933AC" w:rsidRPr="008933AC" w:rsidRDefault="008933AC" w:rsidP="00A462CB">
      <w:pPr>
        <w:spacing w:after="0" w:line="276" w:lineRule="auto"/>
        <w:ind w:right="44"/>
        <w:jc w:val="both"/>
        <w:rPr>
          <w:rFonts w:ascii="Tahoma" w:hAnsi="Tahoma" w:cs="Tahoma"/>
          <w:sz w:val="24"/>
          <w:szCs w:val="24"/>
        </w:rPr>
      </w:pPr>
      <w:r w:rsidRPr="008933AC">
        <w:rPr>
          <w:rFonts w:ascii="Tahoma" w:hAnsi="Tahoma" w:cs="Tahoma"/>
          <w:bCs/>
          <w:sz w:val="24"/>
          <w:szCs w:val="24"/>
          <w:lang w:val="es-ES_tradnl" w:eastAsia="zh-CN"/>
        </w:rPr>
        <w:t xml:space="preserve">Este criterio es congruente con lo previsto en el artículo </w:t>
      </w:r>
      <w:r w:rsidR="00D342D7" w:rsidRPr="00D342D7">
        <w:rPr>
          <w:rFonts w:ascii="Tahoma" w:hAnsi="Tahoma" w:cs="Tahoma"/>
          <w:bCs/>
          <w:sz w:val="24"/>
          <w:szCs w:val="24"/>
          <w:u w:val="single"/>
          <w:lang w:val="es-ES_tradnl" w:eastAsia="zh-CN"/>
        </w:rPr>
        <w:t>140</w:t>
      </w:r>
      <w:r w:rsidRPr="00D342D7">
        <w:rPr>
          <w:rFonts w:ascii="Tahoma" w:hAnsi="Tahoma" w:cs="Tahoma"/>
          <w:bCs/>
          <w:sz w:val="24"/>
          <w:szCs w:val="24"/>
          <w:u w:val="single"/>
          <w:lang w:val="es-ES_tradnl" w:eastAsia="zh-CN"/>
        </w:rPr>
        <w:t xml:space="preserve">, fracción </w:t>
      </w:r>
      <w:r w:rsidR="00D342D7" w:rsidRPr="00D342D7">
        <w:rPr>
          <w:rFonts w:ascii="Tahoma" w:hAnsi="Tahoma" w:cs="Tahoma"/>
          <w:bCs/>
          <w:sz w:val="24"/>
          <w:szCs w:val="24"/>
          <w:u w:val="single"/>
          <w:lang w:val="es-ES_tradnl" w:eastAsia="zh-CN"/>
        </w:rPr>
        <w:t>VI</w:t>
      </w:r>
      <w:r w:rsidRPr="00D342D7">
        <w:rPr>
          <w:rFonts w:ascii="Tahoma" w:hAnsi="Tahoma" w:cs="Tahoma"/>
          <w:bCs/>
          <w:sz w:val="24"/>
          <w:szCs w:val="24"/>
          <w:u w:val="single"/>
          <w:lang w:val="es-ES_tradnl" w:eastAsia="zh-CN"/>
        </w:rPr>
        <w:t xml:space="preserve"> de la Ley</w:t>
      </w:r>
      <w:r w:rsidR="00D342D7">
        <w:rPr>
          <w:rFonts w:ascii="Tahoma" w:hAnsi="Tahoma" w:cs="Tahoma"/>
          <w:b/>
          <w:bCs/>
          <w:sz w:val="24"/>
          <w:szCs w:val="24"/>
          <w:lang w:val="es-ES_tradnl" w:eastAsia="zh-CN"/>
        </w:rPr>
        <w:t xml:space="preserve"> </w:t>
      </w:r>
      <w:r w:rsidR="00D342D7" w:rsidRPr="00D342D7">
        <w:rPr>
          <w:rFonts w:ascii="Tahoma" w:hAnsi="Tahoma" w:cs="Tahoma"/>
          <w:bCs/>
          <w:sz w:val="24"/>
          <w:szCs w:val="24"/>
          <w:u w:val="single"/>
          <w:lang w:val="es-ES_tradnl" w:eastAsia="zh-CN"/>
        </w:rPr>
        <w:t>de Transparencia y Acceso a la Información Pública del Estado de México y Municipios</w:t>
      </w:r>
      <w:r w:rsidRPr="00D342D7">
        <w:rPr>
          <w:rFonts w:ascii="Tahoma" w:hAnsi="Tahoma" w:cs="Tahoma"/>
          <w:bCs/>
          <w:sz w:val="24"/>
          <w:szCs w:val="24"/>
          <w:u w:val="single"/>
          <w:lang w:val="es-ES_tradnl" w:eastAsia="zh-CN"/>
        </w:rPr>
        <w:t>,</w:t>
      </w:r>
      <w:r w:rsidRPr="008933AC">
        <w:rPr>
          <w:rFonts w:ascii="Tahoma" w:hAnsi="Tahoma" w:cs="Tahoma"/>
          <w:bCs/>
          <w:sz w:val="24"/>
          <w:szCs w:val="24"/>
          <w:lang w:val="es-ES_tradnl" w:eastAsia="zh-CN"/>
        </w:rPr>
        <w:t xml:space="preserve"> mismo que establece </w:t>
      </w:r>
      <w:r w:rsidRPr="008933AC">
        <w:rPr>
          <w:rFonts w:ascii="Tahoma" w:hAnsi="Tahoma" w:cs="Tahoma"/>
          <w:sz w:val="24"/>
          <w:szCs w:val="24"/>
        </w:rPr>
        <w:t xml:space="preserve">que la información que ponga en riesgo </w:t>
      </w:r>
      <w:r w:rsidRPr="008933AC">
        <w:rPr>
          <w:rFonts w:ascii="Tahoma" w:hAnsi="Tahoma" w:cs="Tahoma"/>
          <w:b/>
          <w:sz w:val="24"/>
          <w:szCs w:val="24"/>
        </w:rPr>
        <w:t>las actividades para prevenir delitos</w:t>
      </w:r>
      <w:r w:rsidRPr="008933AC">
        <w:rPr>
          <w:rFonts w:ascii="Tahoma" w:hAnsi="Tahoma" w:cs="Tahoma"/>
          <w:sz w:val="24"/>
          <w:szCs w:val="24"/>
        </w:rPr>
        <w:t xml:space="preserve">, se considerará reservada. En concordancia con lo anterior, el Vigésimo </w:t>
      </w:r>
      <w:r w:rsidR="00D342D7">
        <w:rPr>
          <w:rFonts w:ascii="Tahoma" w:hAnsi="Tahoma" w:cs="Tahoma"/>
          <w:sz w:val="24"/>
          <w:szCs w:val="24"/>
        </w:rPr>
        <w:t>Sexto</w:t>
      </w:r>
      <w:r w:rsidRPr="008933AC">
        <w:rPr>
          <w:rFonts w:ascii="Tahoma" w:hAnsi="Tahoma" w:cs="Tahoma"/>
          <w:sz w:val="24"/>
          <w:szCs w:val="24"/>
        </w:rPr>
        <w:t xml:space="preserve"> de los </w:t>
      </w:r>
      <w:r w:rsidR="00D342D7" w:rsidRPr="00D342D7">
        <w:rPr>
          <w:rFonts w:ascii="Tahoma" w:hAnsi="Tahoma" w:cs="Tahoma"/>
          <w:sz w:val="24"/>
          <w:szCs w:val="24"/>
        </w:rPr>
        <w:t>Lineamientos Generales en materia de Clasificación y Desclasificación de la Información, así como para Elaboración de Versiones Públicas</w:t>
      </w:r>
      <w:r w:rsidRPr="008933AC">
        <w:rPr>
          <w:rFonts w:ascii="Tahoma" w:hAnsi="Tahoma" w:cs="Tahoma"/>
          <w:sz w:val="24"/>
          <w:szCs w:val="24"/>
        </w:rPr>
        <w:t>, establece que procede la reserva de información vinculada con las actividades de prevención del delito, en caso de que su difusión pueda impedir u obstruir las acciones o medidas implementadas para evitar la comisión de delitos.</w:t>
      </w:r>
    </w:p>
    <w:p w:rsidR="008933AC" w:rsidRPr="008933AC" w:rsidRDefault="008933AC" w:rsidP="00A462CB">
      <w:pPr>
        <w:spacing w:after="0" w:line="276" w:lineRule="auto"/>
        <w:ind w:right="44"/>
        <w:jc w:val="both"/>
        <w:rPr>
          <w:rFonts w:ascii="Tahoma" w:hAnsi="Tahoma" w:cs="Tahoma"/>
          <w:bCs/>
          <w:sz w:val="24"/>
          <w:szCs w:val="24"/>
          <w:lang w:eastAsia="zh-CN"/>
        </w:rPr>
      </w:pPr>
    </w:p>
    <w:p w:rsidR="008933AC" w:rsidRPr="008933AC"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bCs/>
          <w:sz w:val="24"/>
          <w:szCs w:val="24"/>
          <w:lang w:val="es-ES_tradnl" w:eastAsia="zh-CN"/>
        </w:rPr>
        <w:t xml:space="preserve">Por lo anterior, mantener reservada la información relativa a los números de cuenta </w:t>
      </w:r>
      <w:r w:rsidR="00B71740">
        <w:rPr>
          <w:rFonts w:ascii="Tahoma" w:hAnsi="Tahoma" w:cs="Tahoma"/>
          <w:bCs/>
          <w:sz w:val="24"/>
          <w:szCs w:val="24"/>
          <w:lang w:val="es-ES_tradnl" w:eastAsia="zh-CN"/>
        </w:rPr>
        <w:t xml:space="preserve">de personas jurídico-colectivas, </w:t>
      </w:r>
      <w:r w:rsidRPr="008933AC">
        <w:rPr>
          <w:rFonts w:ascii="Tahoma" w:hAnsi="Tahoma" w:cs="Tahoma"/>
          <w:bCs/>
          <w:sz w:val="24"/>
          <w:szCs w:val="24"/>
          <w:lang w:val="es-ES_tradnl" w:eastAsia="zh-CN"/>
        </w:rPr>
        <w:t xml:space="preserve">que se tienen aperturadas en instituciones de crédito, permite evitar en la medida de lo posible, poner a los bancos y a </w:t>
      </w:r>
      <w:r w:rsidR="00B71740">
        <w:rPr>
          <w:rFonts w:ascii="Tahoma" w:hAnsi="Tahoma" w:cs="Tahoma"/>
          <w:bCs/>
          <w:sz w:val="24"/>
          <w:szCs w:val="24"/>
          <w:lang w:val="es-ES_tradnl" w:eastAsia="zh-CN"/>
        </w:rPr>
        <w:t>estos</w:t>
      </w:r>
      <w:r w:rsidRPr="008933AC">
        <w:rPr>
          <w:rFonts w:ascii="Tahoma" w:hAnsi="Tahoma" w:cs="Tahoma"/>
          <w:bCs/>
          <w:sz w:val="24"/>
          <w:szCs w:val="24"/>
          <w:lang w:val="es-ES_tradnl" w:eastAsia="zh-CN"/>
        </w:rPr>
        <w:t xml:space="preserve"> en estado de vulnerabilidad frente a posibles fraudes y se es congruente con los esfuerzos de las autoridades y los mismos bancos por detener este tipo de ilícitos que evolucionan y se perfeccionan con gran rapidez, debido a los avances tecnológicos.</w:t>
      </w:r>
    </w:p>
    <w:p w:rsidR="008933AC" w:rsidRPr="008933AC" w:rsidRDefault="008933AC" w:rsidP="00A462CB">
      <w:pPr>
        <w:spacing w:after="0" w:line="276" w:lineRule="auto"/>
        <w:ind w:right="44"/>
        <w:jc w:val="both"/>
        <w:rPr>
          <w:rFonts w:ascii="Tahoma" w:hAnsi="Tahoma" w:cs="Tahoma"/>
          <w:bCs/>
          <w:sz w:val="24"/>
          <w:szCs w:val="24"/>
          <w:lang w:val="es-ES_tradnl" w:eastAsia="zh-CN"/>
        </w:rPr>
      </w:pPr>
    </w:p>
    <w:p w:rsidR="008933AC" w:rsidRPr="008933AC"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bCs/>
          <w:sz w:val="24"/>
          <w:szCs w:val="24"/>
          <w:lang w:val="es-ES_tradnl" w:eastAsia="zh-CN"/>
        </w:rPr>
        <w:t>A mayor abundamiento, la difusión de los números de cuenta bancarios en los cuales los sujetos obligados tiene recursos en instituciones bancarias, proporcionaría mayores elementos a ciertas personas para cometer delitos, como el fraude, acceso ilícito a sistemas y equipos de informática o la falsificación de títulos de crédito. Es decir, dar a conocer esta información permitiría aumentar el riesgo ya de por si existente de que se cometan delitos contra las instituciones públicas y con ello, se causaría un serio perjuicio a la prevención de los delitos, en virtud de que se aportarían elementos a los posibles delincuentes para cometerlos, elementos con los que de otra manera –lícita- no contarían.</w:t>
      </w:r>
    </w:p>
    <w:p w:rsidR="008933AC" w:rsidRPr="008933AC" w:rsidRDefault="008933AC" w:rsidP="00A462CB">
      <w:pPr>
        <w:spacing w:after="0" w:line="276" w:lineRule="auto"/>
        <w:ind w:right="44"/>
        <w:jc w:val="both"/>
        <w:rPr>
          <w:rFonts w:ascii="Tahoma" w:hAnsi="Tahoma" w:cs="Tahoma"/>
          <w:bCs/>
          <w:sz w:val="24"/>
          <w:szCs w:val="24"/>
          <w:lang w:val="es-ES_tradnl" w:eastAsia="zh-CN"/>
        </w:rPr>
      </w:pPr>
    </w:p>
    <w:p w:rsidR="008933AC" w:rsidRPr="008933AC"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bCs/>
          <w:sz w:val="24"/>
          <w:szCs w:val="24"/>
          <w:lang w:val="es-ES_tradnl" w:eastAsia="zh-CN"/>
        </w:rPr>
        <w:t>Es decir, si bien es cierto que un probable delincuente podría obtener la información en comento por medios ilícitos, también, es obligación de este Instituto, no permitir el acceso a dicha información a través de medios legales, como el derecho de acceso a información pública.</w:t>
      </w:r>
    </w:p>
    <w:p w:rsidR="008933AC" w:rsidRPr="008933AC" w:rsidRDefault="008933AC" w:rsidP="00A462CB">
      <w:pPr>
        <w:widowControl w:val="0"/>
        <w:autoSpaceDE w:val="0"/>
        <w:autoSpaceDN w:val="0"/>
        <w:adjustRightInd w:val="0"/>
        <w:spacing w:after="0" w:line="276" w:lineRule="auto"/>
        <w:jc w:val="both"/>
        <w:rPr>
          <w:rFonts w:ascii="Tahoma" w:hAnsi="Tahoma" w:cs="Tahoma"/>
          <w:bCs/>
          <w:sz w:val="24"/>
          <w:szCs w:val="24"/>
          <w:lang w:val="es-ES_tradnl" w:eastAsia="zh-CN"/>
        </w:rPr>
      </w:pPr>
    </w:p>
    <w:p w:rsidR="008933AC" w:rsidRPr="008933AC"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sz w:val="24"/>
          <w:szCs w:val="24"/>
          <w:lang w:eastAsia="zh-CN"/>
        </w:rPr>
        <w:t xml:space="preserve">Por otra parte, se debe tener presente que entre los objetivos del acceso a la información plasmados en </w:t>
      </w:r>
      <w:smartTag w:uri="urn:schemas-microsoft-com:office:smarttags" w:element="PersonName">
        <w:smartTagPr>
          <w:attr w:name="ProductID" w:val="la Ley"/>
        </w:smartTagPr>
        <w:r w:rsidRPr="008933AC">
          <w:rPr>
            <w:rFonts w:ascii="Tahoma" w:hAnsi="Tahoma" w:cs="Tahoma"/>
            <w:sz w:val="24"/>
            <w:szCs w:val="24"/>
            <w:lang w:eastAsia="zh-CN"/>
          </w:rPr>
          <w:t>la Ley</w:t>
        </w:r>
      </w:smartTag>
      <w:r w:rsidRPr="008933AC">
        <w:rPr>
          <w:rFonts w:ascii="Tahoma" w:hAnsi="Tahoma" w:cs="Tahoma"/>
          <w:sz w:val="24"/>
          <w:szCs w:val="24"/>
          <w:lang w:eastAsia="zh-CN"/>
        </w:rPr>
        <w:t xml:space="preserve">, están promover la transparencia de la gestión pública y la rendición de cuentas, así como contribuir a la mejora de la gestión pública. </w:t>
      </w:r>
      <w:r w:rsidRPr="008933AC">
        <w:rPr>
          <w:rFonts w:ascii="Tahoma" w:hAnsi="Tahoma" w:cs="Tahoma"/>
          <w:bCs/>
          <w:sz w:val="24"/>
          <w:szCs w:val="24"/>
          <w:lang w:val="es-ES_tradnl" w:eastAsia="zh-CN"/>
        </w:rPr>
        <w:t xml:space="preserve">Es así que la publicidad de los números de cuenta, en nada ayuda a la transparencia ni a la rendición de cuentas. Es decir, la información que contribuye para la rendición de cuentas </w:t>
      </w:r>
      <w:r w:rsidR="007D5554">
        <w:rPr>
          <w:rFonts w:ascii="Tahoma" w:hAnsi="Tahoma" w:cs="Tahoma"/>
          <w:bCs/>
          <w:sz w:val="24"/>
          <w:szCs w:val="24"/>
          <w:lang w:val="es-ES_tradnl" w:eastAsia="zh-CN"/>
        </w:rPr>
        <w:t>al tratarse de información de carácter económico de particulares.</w:t>
      </w:r>
    </w:p>
    <w:p w:rsidR="008933AC" w:rsidRPr="008933AC" w:rsidRDefault="008933AC" w:rsidP="00A462CB">
      <w:pPr>
        <w:spacing w:after="0" w:line="276" w:lineRule="auto"/>
        <w:ind w:right="44"/>
        <w:jc w:val="both"/>
        <w:rPr>
          <w:rFonts w:ascii="Tahoma" w:hAnsi="Tahoma" w:cs="Tahoma"/>
          <w:bCs/>
          <w:sz w:val="24"/>
          <w:szCs w:val="24"/>
          <w:lang w:val="es-ES_tradnl" w:eastAsia="zh-CN"/>
        </w:rPr>
      </w:pPr>
    </w:p>
    <w:p w:rsidR="008933AC" w:rsidRPr="00B2355E" w:rsidRDefault="008933AC" w:rsidP="00A462CB">
      <w:pPr>
        <w:spacing w:after="0" w:line="276" w:lineRule="auto"/>
        <w:ind w:right="44"/>
        <w:jc w:val="both"/>
        <w:rPr>
          <w:rFonts w:ascii="Tahoma" w:hAnsi="Tahoma" w:cs="Tahoma"/>
          <w:bCs/>
          <w:sz w:val="24"/>
          <w:szCs w:val="24"/>
          <w:lang w:val="es-ES_tradnl" w:eastAsia="zh-CN"/>
        </w:rPr>
      </w:pPr>
      <w:r w:rsidRPr="008933AC">
        <w:rPr>
          <w:rFonts w:ascii="Tahoma" w:hAnsi="Tahoma" w:cs="Tahoma"/>
          <w:bCs/>
          <w:sz w:val="24"/>
          <w:szCs w:val="24"/>
          <w:lang w:val="es-ES_tradnl" w:eastAsia="zh-CN"/>
        </w:rPr>
        <w:t xml:space="preserve">En conclusión, se considera que el número de cuenta bancario actualiza los extremos de la hipótesis prevista en el artículo </w:t>
      </w:r>
      <w:r w:rsidR="00B2355E">
        <w:rPr>
          <w:rFonts w:ascii="Tahoma" w:hAnsi="Tahoma" w:cs="Tahoma"/>
          <w:bCs/>
          <w:sz w:val="24"/>
          <w:szCs w:val="24"/>
          <w:lang w:val="es-ES_tradnl" w:eastAsia="zh-CN"/>
        </w:rPr>
        <w:t>140</w:t>
      </w:r>
      <w:r w:rsidRPr="008933AC">
        <w:rPr>
          <w:rFonts w:ascii="Tahoma" w:hAnsi="Tahoma" w:cs="Tahoma"/>
          <w:bCs/>
          <w:sz w:val="24"/>
          <w:szCs w:val="24"/>
          <w:lang w:val="es-ES_tradnl" w:eastAsia="zh-CN"/>
        </w:rPr>
        <w:t>, fracción V</w:t>
      </w:r>
      <w:r w:rsidR="00B2355E">
        <w:rPr>
          <w:rFonts w:ascii="Tahoma" w:hAnsi="Tahoma" w:cs="Tahoma"/>
          <w:bCs/>
          <w:sz w:val="24"/>
          <w:szCs w:val="24"/>
          <w:lang w:val="es-ES_tradnl" w:eastAsia="zh-CN"/>
        </w:rPr>
        <w:t>I</w:t>
      </w:r>
      <w:r w:rsidRPr="008933AC">
        <w:rPr>
          <w:rFonts w:ascii="Tahoma" w:hAnsi="Tahoma" w:cs="Tahoma"/>
          <w:bCs/>
          <w:sz w:val="24"/>
          <w:szCs w:val="24"/>
          <w:lang w:val="es-ES_tradnl" w:eastAsia="zh-CN"/>
        </w:rPr>
        <w:t xml:space="preserve"> de la Ley</w:t>
      </w:r>
      <w:r w:rsidR="00B2355E">
        <w:rPr>
          <w:rFonts w:ascii="Tahoma" w:hAnsi="Tahoma" w:cs="Tahoma"/>
          <w:bCs/>
          <w:sz w:val="24"/>
          <w:szCs w:val="24"/>
          <w:lang w:val="es-ES_tradnl" w:eastAsia="zh-CN"/>
        </w:rPr>
        <w:t xml:space="preserve"> de la materia</w:t>
      </w:r>
      <w:r w:rsidRPr="008933AC">
        <w:rPr>
          <w:rFonts w:ascii="Tahoma" w:hAnsi="Tahoma" w:cs="Tahoma"/>
          <w:bCs/>
          <w:sz w:val="24"/>
          <w:szCs w:val="24"/>
          <w:lang w:val="es-ES_tradnl" w:eastAsia="zh-CN"/>
        </w:rPr>
        <w:t xml:space="preserve">, en su parte conducente a prevención del delito; en relación con el Vigésimo </w:t>
      </w:r>
      <w:r w:rsidR="00B2355E">
        <w:rPr>
          <w:rFonts w:ascii="Tahoma" w:hAnsi="Tahoma" w:cs="Tahoma"/>
          <w:bCs/>
          <w:sz w:val="24"/>
          <w:szCs w:val="24"/>
          <w:lang w:val="es-ES_tradnl" w:eastAsia="zh-CN"/>
        </w:rPr>
        <w:t>Sexto</w:t>
      </w:r>
      <w:r w:rsidRPr="008933AC">
        <w:rPr>
          <w:rFonts w:ascii="Tahoma" w:hAnsi="Tahoma" w:cs="Tahoma"/>
          <w:bCs/>
          <w:sz w:val="24"/>
          <w:szCs w:val="24"/>
          <w:lang w:val="es-ES_tradnl" w:eastAsia="zh-CN"/>
        </w:rPr>
        <w:t xml:space="preserve"> de los </w:t>
      </w:r>
      <w:r w:rsidR="00B2355E" w:rsidRPr="00B2355E">
        <w:rPr>
          <w:rFonts w:ascii="Tahoma" w:hAnsi="Tahoma" w:cs="Tahoma"/>
          <w:bCs/>
          <w:sz w:val="24"/>
          <w:szCs w:val="24"/>
          <w:lang w:val="es-ES_tradnl" w:eastAsia="zh-CN"/>
        </w:rPr>
        <w:t>Lineamientos Generales en materia de Clasificación y Desclasificación de la Información, así como para Elaboración de Versiones Públicas.</w:t>
      </w:r>
    </w:p>
    <w:p w:rsidR="00B2355E" w:rsidRPr="008933AC" w:rsidRDefault="00B2355E" w:rsidP="00A462CB">
      <w:pPr>
        <w:spacing w:after="0" w:line="276" w:lineRule="auto"/>
        <w:ind w:right="44"/>
        <w:jc w:val="both"/>
        <w:rPr>
          <w:rFonts w:ascii="Tahoma" w:hAnsi="Tahoma" w:cs="Tahoma"/>
          <w:bCs/>
          <w:sz w:val="24"/>
          <w:szCs w:val="24"/>
          <w:lang w:val="es-ES_tradnl" w:eastAsia="zh-CN"/>
        </w:rPr>
      </w:pPr>
    </w:p>
    <w:p w:rsidR="009E0861" w:rsidRPr="008933AC" w:rsidRDefault="009E0861" w:rsidP="00A462CB">
      <w:pPr>
        <w:spacing w:after="0" w:line="276" w:lineRule="auto"/>
        <w:jc w:val="both"/>
        <w:rPr>
          <w:rFonts w:ascii="Tahoma" w:hAnsi="Tahoma" w:cs="Tahoma"/>
          <w:sz w:val="24"/>
          <w:szCs w:val="24"/>
        </w:rPr>
      </w:pPr>
      <w:r w:rsidRPr="008933AC">
        <w:rPr>
          <w:rFonts w:ascii="Tahoma" w:hAnsi="Tahoma" w:cs="Tahoma"/>
          <w:sz w:val="24"/>
          <w:szCs w:val="24"/>
        </w:rPr>
        <w:t xml:space="preserve">Así, con base en los razonamientos expuestos, </w:t>
      </w:r>
      <w:r w:rsidRPr="008933AC">
        <w:rPr>
          <w:rFonts w:ascii="Tahoma" w:hAnsi="Tahoma" w:cs="Tahoma"/>
          <w:b/>
          <w:sz w:val="24"/>
          <w:szCs w:val="24"/>
        </w:rPr>
        <w:t>se emite el presente Voto Particular</w:t>
      </w:r>
      <w:r w:rsidRPr="008933AC">
        <w:rPr>
          <w:rFonts w:ascii="Tahoma" w:hAnsi="Tahoma" w:cs="Tahoma"/>
          <w:sz w:val="24"/>
          <w:szCs w:val="24"/>
        </w:rPr>
        <w:t>.</w:t>
      </w:r>
    </w:p>
    <w:p w:rsidR="00553ADE" w:rsidRPr="008933AC" w:rsidRDefault="00553ADE" w:rsidP="00A462CB">
      <w:pPr>
        <w:spacing w:after="0" w:line="276" w:lineRule="auto"/>
        <w:jc w:val="center"/>
        <w:rPr>
          <w:rFonts w:ascii="Tahoma" w:hAnsi="Tahoma" w:cs="Tahoma"/>
          <w:sz w:val="24"/>
          <w:szCs w:val="24"/>
        </w:rPr>
      </w:pPr>
    </w:p>
    <w:p w:rsidR="00553ADE" w:rsidRPr="008933AC" w:rsidRDefault="00553ADE" w:rsidP="00A462CB">
      <w:pPr>
        <w:spacing w:after="0" w:line="276" w:lineRule="auto"/>
        <w:jc w:val="center"/>
        <w:rPr>
          <w:rFonts w:ascii="Tahoma" w:hAnsi="Tahoma" w:cs="Tahoma"/>
          <w:sz w:val="24"/>
          <w:szCs w:val="24"/>
        </w:rPr>
      </w:pPr>
    </w:p>
    <w:p w:rsidR="00553ADE" w:rsidRPr="008933AC" w:rsidRDefault="00553ADE" w:rsidP="00A462CB">
      <w:pPr>
        <w:spacing w:after="0" w:line="276" w:lineRule="auto"/>
        <w:jc w:val="center"/>
        <w:rPr>
          <w:rFonts w:ascii="Tahoma" w:hAnsi="Tahoma" w:cs="Tahoma"/>
          <w:b/>
          <w:sz w:val="24"/>
          <w:szCs w:val="24"/>
        </w:rPr>
      </w:pPr>
      <w:bookmarkStart w:id="0" w:name="_GoBack"/>
      <w:bookmarkEnd w:id="0"/>
      <w:r w:rsidRPr="008933AC">
        <w:rPr>
          <w:rFonts w:ascii="Tahoma" w:hAnsi="Tahoma" w:cs="Tahoma"/>
          <w:b/>
          <w:sz w:val="24"/>
          <w:szCs w:val="24"/>
        </w:rPr>
        <w:t>Luis Gustavo Parra Noriega</w:t>
      </w:r>
    </w:p>
    <w:p w:rsidR="003512C9" w:rsidRPr="008933AC" w:rsidRDefault="00553ADE" w:rsidP="00F44957">
      <w:pPr>
        <w:spacing w:after="0" w:line="276" w:lineRule="auto"/>
        <w:jc w:val="center"/>
        <w:rPr>
          <w:rFonts w:ascii="Tahoma" w:hAnsi="Tahoma" w:cs="Tahoma"/>
          <w:sz w:val="24"/>
          <w:szCs w:val="24"/>
        </w:rPr>
      </w:pPr>
      <w:r w:rsidRPr="008933AC">
        <w:rPr>
          <w:rFonts w:ascii="Tahoma" w:hAnsi="Tahoma" w:cs="Tahoma"/>
          <w:sz w:val="24"/>
          <w:szCs w:val="24"/>
        </w:rPr>
        <w:t>Comisionado</w:t>
      </w:r>
    </w:p>
    <w:sectPr w:rsidR="003512C9" w:rsidRPr="008933A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C0D" w:rsidRDefault="00F82C0D" w:rsidP="00EE29F6">
      <w:pPr>
        <w:spacing w:after="0" w:line="240" w:lineRule="auto"/>
      </w:pPr>
      <w:r>
        <w:separator/>
      </w:r>
    </w:p>
  </w:endnote>
  <w:endnote w:type="continuationSeparator" w:id="0">
    <w:p w:rsidR="00F82C0D" w:rsidRDefault="00F82C0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F1E72">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F1E72">
              <w:rPr>
                <w:b/>
                <w:bCs/>
                <w:noProof/>
              </w:rPr>
              <w:t>10</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C0D" w:rsidRDefault="00F82C0D" w:rsidP="00EE29F6">
      <w:pPr>
        <w:spacing w:after="0" w:line="240" w:lineRule="auto"/>
      </w:pPr>
      <w:r>
        <w:separator/>
      </w:r>
    </w:p>
  </w:footnote>
  <w:footnote w:type="continuationSeparator" w:id="0">
    <w:p w:rsidR="00F82C0D" w:rsidRDefault="00F82C0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1106EA" w:rsidRDefault="00363357" w:rsidP="001106EA">
          <w:pPr>
            <w:pStyle w:val="Encabezado"/>
            <w:ind w:left="-108" w:right="-250"/>
            <w:jc w:val="both"/>
            <w:rPr>
              <w:rFonts w:ascii="Tahoma" w:hAnsi="Tahoma" w:cs="Tahoma"/>
              <w:b/>
            </w:rPr>
          </w:pPr>
          <w:r w:rsidRPr="001106EA">
            <w:rPr>
              <w:rFonts w:ascii="Tahoma" w:hAnsi="Tahoma" w:cs="Tahoma"/>
              <w:b/>
            </w:rPr>
            <w:t>Voto Particular</w:t>
          </w:r>
        </w:p>
        <w:p w:rsidR="00363357" w:rsidRDefault="00363357" w:rsidP="00627F2B">
          <w:pPr>
            <w:pStyle w:val="Encabezado"/>
            <w:ind w:left="-108" w:right="-250"/>
            <w:jc w:val="both"/>
            <w:rPr>
              <w:rFonts w:ascii="Tahoma" w:hAnsi="Tahoma" w:cs="Tahoma"/>
              <w:b/>
            </w:rPr>
          </w:pPr>
          <w:r w:rsidRPr="001106EA">
            <w:rPr>
              <w:rFonts w:ascii="Tahoma" w:hAnsi="Tahoma" w:cs="Tahoma"/>
              <w:b/>
            </w:rPr>
            <w:t>Recurso de Revisión: 0</w:t>
          </w:r>
          <w:r>
            <w:rPr>
              <w:rFonts w:ascii="Tahoma" w:hAnsi="Tahoma" w:cs="Tahoma"/>
              <w:b/>
            </w:rPr>
            <w:t>2926</w:t>
          </w:r>
          <w:r w:rsidRPr="001106EA">
            <w:rPr>
              <w:rFonts w:ascii="Tahoma" w:hAnsi="Tahoma" w:cs="Tahoma"/>
              <w:b/>
            </w:rPr>
            <w:t>/INFOEM/IP/RR/2018</w:t>
          </w:r>
          <w:r>
            <w:rPr>
              <w:rFonts w:ascii="Tahoma" w:hAnsi="Tahoma" w:cs="Tahoma"/>
              <w:b/>
            </w:rPr>
            <w:t xml:space="preserve"> y</w:t>
          </w:r>
        </w:p>
        <w:p w:rsidR="00363357" w:rsidRDefault="00363357" w:rsidP="00627F2B">
          <w:pPr>
            <w:pStyle w:val="Encabezado"/>
            <w:ind w:left="-108" w:right="-250"/>
            <w:jc w:val="both"/>
            <w:rPr>
              <w:rFonts w:ascii="Tahoma" w:hAnsi="Tahoma" w:cs="Tahoma"/>
              <w:b/>
            </w:rPr>
          </w:pPr>
          <w:r w:rsidRPr="001106EA">
            <w:rPr>
              <w:rFonts w:ascii="Tahoma" w:hAnsi="Tahoma" w:cs="Tahoma"/>
              <w:b/>
            </w:rPr>
            <w:t>0</w:t>
          </w:r>
          <w:r>
            <w:rPr>
              <w:rFonts w:ascii="Tahoma" w:hAnsi="Tahoma" w:cs="Tahoma"/>
              <w:b/>
            </w:rPr>
            <w:t>2929</w:t>
          </w:r>
          <w:r w:rsidRPr="001106EA">
            <w:rPr>
              <w:rFonts w:ascii="Tahoma" w:hAnsi="Tahoma" w:cs="Tahoma"/>
              <w:b/>
            </w:rPr>
            <w:t>/INFOEM/IP/RR/2018</w:t>
          </w:r>
        </w:p>
        <w:p w:rsidR="00363357" w:rsidRPr="001106EA" w:rsidRDefault="00363357" w:rsidP="00627F2B">
          <w:pPr>
            <w:pStyle w:val="Encabezado"/>
            <w:ind w:left="-108" w:right="-250"/>
            <w:jc w:val="both"/>
            <w:rPr>
              <w:rFonts w:ascii="Tahoma" w:hAnsi="Tahoma" w:cs="Tahoma"/>
            </w:rPr>
          </w:pPr>
          <w:r>
            <w:rPr>
              <w:rFonts w:ascii="Tahoma" w:hAnsi="Tahoma" w:cs="Tahoma"/>
              <w:b/>
            </w:rPr>
            <w:t>Comisionada Ponente: Eva Avaid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600D"/>
    <w:rsid w:val="00020D08"/>
    <w:rsid w:val="0002483E"/>
    <w:rsid w:val="0002627D"/>
    <w:rsid w:val="0002759D"/>
    <w:rsid w:val="000301C6"/>
    <w:rsid w:val="00056BD3"/>
    <w:rsid w:val="00060F74"/>
    <w:rsid w:val="0006561A"/>
    <w:rsid w:val="00087AC8"/>
    <w:rsid w:val="0009277A"/>
    <w:rsid w:val="00097988"/>
    <w:rsid w:val="000B235B"/>
    <w:rsid w:val="000B7F6F"/>
    <w:rsid w:val="000C10B7"/>
    <w:rsid w:val="000D186F"/>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C1C64"/>
    <w:rsid w:val="001C363A"/>
    <w:rsid w:val="00231B68"/>
    <w:rsid w:val="00243A13"/>
    <w:rsid w:val="00246FAF"/>
    <w:rsid w:val="00273B3C"/>
    <w:rsid w:val="0028037C"/>
    <w:rsid w:val="002816CB"/>
    <w:rsid w:val="00295BA5"/>
    <w:rsid w:val="002A138B"/>
    <w:rsid w:val="002A1727"/>
    <w:rsid w:val="002A2EE7"/>
    <w:rsid w:val="002B2877"/>
    <w:rsid w:val="002C2405"/>
    <w:rsid w:val="002E4A9A"/>
    <w:rsid w:val="002E5A1A"/>
    <w:rsid w:val="00333B7A"/>
    <w:rsid w:val="003512C9"/>
    <w:rsid w:val="00363357"/>
    <w:rsid w:val="003A6218"/>
    <w:rsid w:val="003B6547"/>
    <w:rsid w:val="003B7A5E"/>
    <w:rsid w:val="003F2426"/>
    <w:rsid w:val="003F48C2"/>
    <w:rsid w:val="0040139C"/>
    <w:rsid w:val="00412CB2"/>
    <w:rsid w:val="004211BB"/>
    <w:rsid w:val="00433746"/>
    <w:rsid w:val="00434C88"/>
    <w:rsid w:val="00435E69"/>
    <w:rsid w:val="0044391A"/>
    <w:rsid w:val="00445BDF"/>
    <w:rsid w:val="00447F6F"/>
    <w:rsid w:val="0045695E"/>
    <w:rsid w:val="00467ACB"/>
    <w:rsid w:val="00485822"/>
    <w:rsid w:val="00490F50"/>
    <w:rsid w:val="004A4555"/>
    <w:rsid w:val="004A555E"/>
    <w:rsid w:val="004B08C4"/>
    <w:rsid w:val="004B541F"/>
    <w:rsid w:val="004C4912"/>
    <w:rsid w:val="004C6E57"/>
    <w:rsid w:val="004E4CA3"/>
    <w:rsid w:val="004E7007"/>
    <w:rsid w:val="004F0B86"/>
    <w:rsid w:val="004F1E72"/>
    <w:rsid w:val="00524DA5"/>
    <w:rsid w:val="00526DBD"/>
    <w:rsid w:val="00543DF4"/>
    <w:rsid w:val="00544812"/>
    <w:rsid w:val="00550AA5"/>
    <w:rsid w:val="00553ADE"/>
    <w:rsid w:val="0056120D"/>
    <w:rsid w:val="00582CCB"/>
    <w:rsid w:val="00584D73"/>
    <w:rsid w:val="0059329D"/>
    <w:rsid w:val="005A2510"/>
    <w:rsid w:val="005C094E"/>
    <w:rsid w:val="005C73EE"/>
    <w:rsid w:val="005D11C8"/>
    <w:rsid w:val="005E2798"/>
    <w:rsid w:val="00600164"/>
    <w:rsid w:val="00605683"/>
    <w:rsid w:val="006248F2"/>
    <w:rsid w:val="00624DE5"/>
    <w:rsid w:val="00627F2B"/>
    <w:rsid w:val="00645087"/>
    <w:rsid w:val="00654ACD"/>
    <w:rsid w:val="00657396"/>
    <w:rsid w:val="00682003"/>
    <w:rsid w:val="00684B16"/>
    <w:rsid w:val="006B16FE"/>
    <w:rsid w:val="006F5316"/>
    <w:rsid w:val="00722FE9"/>
    <w:rsid w:val="00724F08"/>
    <w:rsid w:val="007378E2"/>
    <w:rsid w:val="00742A15"/>
    <w:rsid w:val="0077694E"/>
    <w:rsid w:val="00781082"/>
    <w:rsid w:val="007A1071"/>
    <w:rsid w:val="007A2D13"/>
    <w:rsid w:val="007D3257"/>
    <w:rsid w:val="007D5554"/>
    <w:rsid w:val="007E3F77"/>
    <w:rsid w:val="007F1C1D"/>
    <w:rsid w:val="007F7D80"/>
    <w:rsid w:val="00802879"/>
    <w:rsid w:val="00836BC2"/>
    <w:rsid w:val="00861757"/>
    <w:rsid w:val="008629DC"/>
    <w:rsid w:val="00891412"/>
    <w:rsid w:val="008933AC"/>
    <w:rsid w:val="008A0447"/>
    <w:rsid w:val="008A1DE1"/>
    <w:rsid w:val="008A3DA9"/>
    <w:rsid w:val="008B08C9"/>
    <w:rsid w:val="008E54E2"/>
    <w:rsid w:val="009039FE"/>
    <w:rsid w:val="00922B2E"/>
    <w:rsid w:val="00924A73"/>
    <w:rsid w:val="00926581"/>
    <w:rsid w:val="00927BD1"/>
    <w:rsid w:val="00950355"/>
    <w:rsid w:val="0095470A"/>
    <w:rsid w:val="00954BF1"/>
    <w:rsid w:val="00962B86"/>
    <w:rsid w:val="00974836"/>
    <w:rsid w:val="009943E1"/>
    <w:rsid w:val="009B22ED"/>
    <w:rsid w:val="009B2C0B"/>
    <w:rsid w:val="009C0313"/>
    <w:rsid w:val="009D07E2"/>
    <w:rsid w:val="009D49BE"/>
    <w:rsid w:val="009E0861"/>
    <w:rsid w:val="009E41F7"/>
    <w:rsid w:val="00A13E40"/>
    <w:rsid w:val="00A30C52"/>
    <w:rsid w:val="00A364BA"/>
    <w:rsid w:val="00A462CB"/>
    <w:rsid w:val="00A5061A"/>
    <w:rsid w:val="00A67498"/>
    <w:rsid w:val="00A742D1"/>
    <w:rsid w:val="00A87924"/>
    <w:rsid w:val="00A96933"/>
    <w:rsid w:val="00AA090B"/>
    <w:rsid w:val="00AA261E"/>
    <w:rsid w:val="00AC333A"/>
    <w:rsid w:val="00AD25D5"/>
    <w:rsid w:val="00AF3B6B"/>
    <w:rsid w:val="00B15570"/>
    <w:rsid w:val="00B2355E"/>
    <w:rsid w:val="00B263C5"/>
    <w:rsid w:val="00B27BBC"/>
    <w:rsid w:val="00B67355"/>
    <w:rsid w:val="00B71740"/>
    <w:rsid w:val="00B7393F"/>
    <w:rsid w:val="00B761B1"/>
    <w:rsid w:val="00BB6EE3"/>
    <w:rsid w:val="00BC4882"/>
    <w:rsid w:val="00BC55D2"/>
    <w:rsid w:val="00BD06FC"/>
    <w:rsid w:val="00BD4705"/>
    <w:rsid w:val="00BD4C66"/>
    <w:rsid w:val="00BD5DBE"/>
    <w:rsid w:val="00BF1AC9"/>
    <w:rsid w:val="00C0033F"/>
    <w:rsid w:val="00C0131C"/>
    <w:rsid w:val="00C30FD6"/>
    <w:rsid w:val="00C31FEE"/>
    <w:rsid w:val="00C55FFC"/>
    <w:rsid w:val="00C75CE0"/>
    <w:rsid w:val="00C920D4"/>
    <w:rsid w:val="00CA7627"/>
    <w:rsid w:val="00CC68E1"/>
    <w:rsid w:val="00CD4339"/>
    <w:rsid w:val="00CE50F9"/>
    <w:rsid w:val="00CF11EE"/>
    <w:rsid w:val="00CF432B"/>
    <w:rsid w:val="00D05740"/>
    <w:rsid w:val="00D13875"/>
    <w:rsid w:val="00D15D07"/>
    <w:rsid w:val="00D160F2"/>
    <w:rsid w:val="00D342D7"/>
    <w:rsid w:val="00D357E1"/>
    <w:rsid w:val="00D37CDC"/>
    <w:rsid w:val="00D45BDF"/>
    <w:rsid w:val="00D51426"/>
    <w:rsid w:val="00D55429"/>
    <w:rsid w:val="00D65D0C"/>
    <w:rsid w:val="00D666D4"/>
    <w:rsid w:val="00D7239D"/>
    <w:rsid w:val="00D75FAE"/>
    <w:rsid w:val="00D76EA4"/>
    <w:rsid w:val="00D77F63"/>
    <w:rsid w:val="00D9114A"/>
    <w:rsid w:val="00D932AD"/>
    <w:rsid w:val="00DA11C0"/>
    <w:rsid w:val="00DE4452"/>
    <w:rsid w:val="00DF6CA0"/>
    <w:rsid w:val="00E145E1"/>
    <w:rsid w:val="00E26123"/>
    <w:rsid w:val="00E34559"/>
    <w:rsid w:val="00E41481"/>
    <w:rsid w:val="00E416F8"/>
    <w:rsid w:val="00E656C1"/>
    <w:rsid w:val="00E80E84"/>
    <w:rsid w:val="00E82F77"/>
    <w:rsid w:val="00E83683"/>
    <w:rsid w:val="00EA7E26"/>
    <w:rsid w:val="00EB7128"/>
    <w:rsid w:val="00EE29F6"/>
    <w:rsid w:val="00F05A41"/>
    <w:rsid w:val="00F14384"/>
    <w:rsid w:val="00F44957"/>
    <w:rsid w:val="00F72D12"/>
    <w:rsid w:val="00F82C0D"/>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4C8D-5B76-419A-9D0E-60C0B5EE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3146</Words>
  <Characters>17309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2018-10-16T18:05:00Z</cp:lastPrinted>
  <dcterms:created xsi:type="dcterms:W3CDTF">2018-10-15T16:21:00Z</dcterms:created>
  <dcterms:modified xsi:type="dcterms:W3CDTF">2018-10-16T18:06:00Z</dcterms:modified>
</cp:coreProperties>
</file>